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C4" w:rsidRPr="00462C66" w:rsidRDefault="006751A5">
      <w:pPr>
        <w:rPr>
          <w:b/>
          <w:sz w:val="32"/>
          <w:szCs w:val="32"/>
        </w:rPr>
      </w:pPr>
      <w:r w:rsidRPr="00462C66">
        <w:rPr>
          <w:b/>
          <w:sz w:val="32"/>
          <w:szCs w:val="32"/>
        </w:rPr>
        <w:t>Teil 1: Inklusives Bildungs</w:t>
      </w:r>
      <w:r w:rsidR="00050AD0">
        <w:rPr>
          <w:b/>
          <w:sz w:val="32"/>
          <w:szCs w:val="32"/>
        </w:rPr>
        <w:t xml:space="preserve">system: </w:t>
      </w:r>
      <w:r w:rsidRPr="00462C66">
        <w:rPr>
          <w:b/>
          <w:sz w:val="32"/>
          <w:szCs w:val="32"/>
        </w:rPr>
        <w:t>Bayern</w:t>
      </w:r>
    </w:p>
    <w:p w:rsidR="004C58EB" w:rsidRDefault="00B27137">
      <w:pPr>
        <w:rPr>
          <w:sz w:val="28"/>
          <w:szCs w:val="28"/>
        </w:rPr>
      </w:pPr>
      <w:r>
        <w:rPr>
          <w:sz w:val="28"/>
          <w:szCs w:val="28"/>
        </w:rPr>
        <w:t>Inkludierende</w:t>
      </w:r>
      <w:r w:rsidR="006751A5">
        <w:rPr>
          <w:sz w:val="28"/>
          <w:szCs w:val="28"/>
        </w:rPr>
        <w:t xml:space="preserve"> und separierende Förderung von Schüler*innen mit sonderpädagogischem Förderbedarf</w:t>
      </w:r>
    </w:p>
    <w:p w:rsidR="001F698D" w:rsidRDefault="001F698D">
      <w:pPr>
        <w:rPr>
          <w:sz w:val="28"/>
          <w:szCs w:val="28"/>
        </w:rPr>
      </w:pPr>
    </w:p>
    <w:p w:rsidR="007C38F9" w:rsidRDefault="004C58EB" w:rsidP="007C38F9">
      <w:pPr>
        <w:rPr>
          <w:sz w:val="28"/>
          <w:szCs w:val="28"/>
        </w:rPr>
      </w:pPr>
      <w:r>
        <w:rPr>
          <w:sz w:val="28"/>
          <w:szCs w:val="28"/>
        </w:rPr>
        <w:t xml:space="preserve">von </w:t>
      </w:r>
      <w:r w:rsidRPr="004C58EB">
        <w:rPr>
          <w:i/>
          <w:sz w:val="28"/>
          <w:szCs w:val="28"/>
        </w:rPr>
        <w:t>Hans Wocken</w:t>
      </w:r>
    </w:p>
    <w:p w:rsidR="007C38F9" w:rsidRDefault="007C38F9" w:rsidP="007C38F9">
      <w:pPr>
        <w:rPr>
          <w:sz w:val="28"/>
          <w:szCs w:val="28"/>
        </w:rPr>
      </w:pPr>
    </w:p>
    <w:p w:rsidR="000F54A7" w:rsidRDefault="000F54A7" w:rsidP="007C38F9">
      <w:pPr>
        <w:rPr>
          <w:sz w:val="28"/>
          <w:szCs w:val="28"/>
        </w:rPr>
      </w:pPr>
    </w:p>
    <w:p w:rsidR="007C38F9" w:rsidRDefault="00B27137" w:rsidP="007C38F9">
      <w:pPr>
        <w:rPr>
          <w:sz w:val="28"/>
          <w:szCs w:val="28"/>
        </w:rPr>
      </w:pPr>
      <w:r>
        <w:rPr>
          <w:sz w:val="28"/>
          <w:szCs w:val="28"/>
        </w:rPr>
        <w:t xml:space="preserve">Die Bundesrepublik </w:t>
      </w:r>
      <w:proofErr w:type="spellStart"/>
      <w:r>
        <w:rPr>
          <w:sz w:val="28"/>
          <w:szCs w:val="28"/>
        </w:rPr>
        <w:t>Deutschlan</w:t>
      </w:r>
      <w:proofErr w:type="spellEnd"/>
      <w:r w:rsidR="007C38F9" w:rsidRPr="00974B5E">
        <w:rPr>
          <w:sz w:val="28"/>
          <w:szCs w:val="28"/>
        </w:rPr>
        <w:t xml:space="preserve"> hat durch die Ratifizierung der </w:t>
      </w:r>
      <w:r w:rsidR="00E72602">
        <w:rPr>
          <w:sz w:val="28"/>
          <w:szCs w:val="28"/>
        </w:rPr>
        <w:t>Behindertenrechtskonvention (</w:t>
      </w:r>
      <w:r w:rsidR="007C38F9" w:rsidRPr="00974B5E">
        <w:rPr>
          <w:sz w:val="28"/>
          <w:szCs w:val="28"/>
        </w:rPr>
        <w:t xml:space="preserve">UN-BRK </w:t>
      </w:r>
      <w:r w:rsidR="00E72602">
        <w:rPr>
          <w:sz w:val="28"/>
          <w:szCs w:val="28"/>
        </w:rPr>
        <w:t xml:space="preserve">2009) </w:t>
      </w:r>
      <w:r w:rsidR="007C38F9" w:rsidRPr="00974B5E">
        <w:rPr>
          <w:sz w:val="28"/>
          <w:szCs w:val="28"/>
        </w:rPr>
        <w:t>völkerrechtlich verbindlich versprochen, ein inklusives Bildungssystem aufzubauen.</w:t>
      </w:r>
      <w:r w:rsidR="007C38F9">
        <w:rPr>
          <w:sz w:val="28"/>
          <w:szCs w:val="28"/>
        </w:rPr>
        <w:t xml:space="preserve"> </w:t>
      </w:r>
      <w:r w:rsidR="002D0AD6">
        <w:rPr>
          <w:sz w:val="28"/>
          <w:szCs w:val="28"/>
        </w:rPr>
        <w:t>Für die</w:t>
      </w:r>
      <w:r w:rsidR="00236158">
        <w:rPr>
          <w:sz w:val="28"/>
          <w:szCs w:val="28"/>
        </w:rPr>
        <w:t xml:space="preserve"> empirische Prüfung, o</w:t>
      </w:r>
      <w:r w:rsidR="007C38F9" w:rsidRPr="00974B5E">
        <w:rPr>
          <w:sz w:val="28"/>
          <w:szCs w:val="28"/>
        </w:rPr>
        <w:t>b der Umbau des segregierenden Schulsystems progressiv voranges</w:t>
      </w:r>
      <w:r w:rsidR="00236158">
        <w:rPr>
          <w:sz w:val="28"/>
          <w:szCs w:val="28"/>
        </w:rPr>
        <w:t xml:space="preserve">chritten ist, haben </w:t>
      </w:r>
      <w:r w:rsidR="007C38F9" w:rsidRPr="00974B5E">
        <w:rPr>
          <w:sz w:val="28"/>
          <w:szCs w:val="28"/>
        </w:rPr>
        <w:t>zwe</w:t>
      </w:r>
      <w:r w:rsidR="00236158">
        <w:rPr>
          <w:sz w:val="28"/>
          <w:szCs w:val="28"/>
        </w:rPr>
        <w:t>ierlei Kriterien prioritäre Bedeutung</w:t>
      </w:r>
      <w:r w:rsidR="007C38F9" w:rsidRPr="00974B5E">
        <w:rPr>
          <w:sz w:val="28"/>
          <w:szCs w:val="28"/>
        </w:rPr>
        <w:t xml:space="preserve">: </w:t>
      </w:r>
      <w:r w:rsidR="007C38F9" w:rsidRPr="007C38F9">
        <w:rPr>
          <w:i/>
          <w:sz w:val="28"/>
          <w:szCs w:val="28"/>
        </w:rPr>
        <w:t>Erstens</w:t>
      </w:r>
      <w:r w:rsidR="007C38F9">
        <w:rPr>
          <w:sz w:val="28"/>
          <w:szCs w:val="28"/>
        </w:rPr>
        <w:t xml:space="preserve"> </w:t>
      </w:r>
      <w:r w:rsidR="007C38F9" w:rsidRPr="009E326D">
        <w:rPr>
          <w:sz w:val="28"/>
          <w:szCs w:val="28"/>
        </w:rPr>
        <w:t xml:space="preserve">ein deutlicher „Rückgang der Separation“ von Schüler*innen mit Behinderungen in Sonder- oder Förderschulen, und </w:t>
      </w:r>
      <w:r w:rsidR="007C38F9" w:rsidRPr="007C38F9">
        <w:rPr>
          <w:i/>
          <w:sz w:val="28"/>
          <w:szCs w:val="28"/>
        </w:rPr>
        <w:t>zweitens</w:t>
      </w:r>
      <w:r w:rsidR="007C38F9">
        <w:rPr>
          <w:sz w:val="28"/>
          <w:szCs w:val="28"/>
        </w:rPr>
        <w:t xml:space="preserve"> </w:t>
      </w:r>
      <w:r w:rsidR="007C38F9" w:rsidRPr="009E326D">
        <w:rPr>
          <w:sz w:val="28"/>
          <w:szCs w:val="28"/>
        </w:rPr>
        <w:t>ein merklicher</w:t>
      </w:r>
      <w:r w:rsidR="00ED50BF">
        <w:rPr>
          <w:sz w:val="28"/>
          <w:szCs w:val="28"/>
        </w:rPr>
        <w:t xml:space="preserve"> und zugleich </w:t>
      </w:r>
      <w:r w:rsidR="00050AD0">
        <w:rPr>
          <w:sz w:val="28"/>
          <w:szCs w:val="28"/>
        </w:rPr>
        <w:t>moderater</w:t>
      </w:r>
      <w:r w:rsidR="007C38F9" w:rsidRPr="009E326D">
        <w:rPr>
          <w:sz w:val="28"/>
          <w:szCs w:val="28"/>
        </w:rPr>
        <w:t xml:space="preserve"> „Anstieg der Inklusion“ von Schüler*innen mit Behinderungen in allgemeinen Schulen.</w:t>
      </w:r>
      <w:r w:rsidR="007C38F9">
        <w:rPr>
          <w:sz w:val="28"/>
          <w:szCs w:val="28"/>
        </w:rPr>
        <w:t xml:space="preserve"> </w:t>
      </w:r>
      <w:r w:rsidR="007C38F9" w:rsidRPr="00974B5E">
        <w:rPr>
          <w:sz w:val="28"/>
          <w:szCs w:val="28"/>
        </w:rPr>
        <w:t>Die beiden Krit</w:t>
      </w:r>
      <w:r w:rsidR="00D41AE0">
        <w:rPr>
          <w:sz w:val="28"/>
          <w:szCs w:val="28"/>
        </w:rPr>
        <w:t>erien „Rückgang der Separation</w:t>
      </w:r>
      <w:r w:rsidR="00050AD0">
        <w:rPr>
          <w:sz w:val="28"/>
          <w:szCs w:val="28"/>
        </w:rPr>
        <w:t>“</w:t>
      </w:r>
      <w:r w:rsidR="001F698D">
        <w:rPr>
          <w:sz w:val="28"/>
          <w:szCs w:val="28"/>
        </w:rPr>
        <w:t xml:space="preserve"> </w:t>
      </w:r>
      <w:r w:rsidR="007C38F9" w:rsidRPr="00974B5E">
        <w:rPr>
          <w:sz w:val="28"/>
          <w:szCs w:val="28"/>
        </w:rPr>
        <w:t>und „Anstieg der Inklusion</w:t>
      </w:r>
      <w:r w:rsidR="00050AD0">
        <w:rPr>
          <w:sz w:val="28"/>
          <w:szCs w:val="28"/>
        </w:rPr>
        <w:t>“</w:t>
      </w:r>
      <w:r w:rsidR="007C38F9" w:rsidRPr="00974B5E">
        <w:rPr>
          <w:sz w:val="28"/>
          <w:szCs w:val="28"/>
        </w:rPr>
        <w:t xml:space="preserve"> können wie kommunizierende Röhren verstanden</w:t>
      </w:r>
      <w:r w:rsidR="007F5ABE">
        <w:rPr>
          <w:sz w:val="28"/>
          <w:szCs w:val="28"/>
        </w:rPr>
        <w:t xml:space="preserve"> werden</w:t>
      </w:r>
      <w:r w:rsidR="007C38F9" w:rsidRPr="00974B5E">
        <w:rPr>
          <w:sz w:val="28"/>
          <w:szCs w:val="28"/>
        </w:rPr>
        <w:t>. Aus Weggängen aus den Sonderschulen resultieren Zugänge zu den allgemeinen Schulen.</w:t>
      </w:r>
      <w:r w:rsidR="00E72602">
        <w:rPr>
          <w:sz w:val="28"/>
          <w:szCs w:val="28"/>
        </w:rPr>
        <w:t xml:space="preserve"> Mehr Inklusion in allgemeine Schulen muss mit weniger Separation in Sonderschulen Hand in Hand gehen.</w:t>
      </w:r>
    </w:p>
    <w:p w:rsidR="007C38F9" w:rsidRDefault="007C38F9" w:rsidP="007C38F9">
      <w:pPr>
        <w:rPr>
          <w:sz w:val="28"/>
          <w:szCs w:val="28"/>
        </w:rPr>
      </w:pPr>
    </w:p>
    <w:p w:rsidR="007C38F9" w:rsidRPr="00974B5E" w:rsidRDefault="00E72602" w:rsidP="007C38F9">
      <w:pPr>
        <w:rPr>
          <w:sz w:val="28"/>
          <w:szCs w:val="28"/>
        </w:rPr>
      </w:pPr>
      <w:r>
        <w:rPr>
          <w:sz w:val="28"/>
          <w:szCs w:val="28"/>
        </w:rPr>
        <w:t xml:space="preserve">Nach einem Jahrzehnt der UN-BRK soll hier nachgefragt werden, ob die Inklusionsreform in Bayern </w:t>
      </w:r>
      <w:r w:rsidR="007C38F9" w:rsidRPr="00974B5E">
        <w:rPr>
          <w:sz w:val="28"/>
          <w:szCs w:val="28"/>
        </w:rPr>
        <w:t xml:space="preserve">empirisch belegbare Erfolge aufweisen kann. Die Daten </w:t>
      </w:r>
      <w:r>
        <w:rPr>
          <w:sz w:val="28"/>
          <w:szCs w:val="28"/>
        </w:rPr>
        <w:t xml:space="preserve">der folgenden Analysen </w:t>
      </w:r>
      <w:r w:rsidR="007C38F9" w:rsidRPr="00974B5E">
        <w:rPr>
          <w:sz w:val="28"/>
          <w:szCs w:val="28"/>
        </w:rPr>
        <w:t xml:space="preserve">stammen </w:t>
      </w:r>
      <w:r>
        <w:rPr>
          <w:sz w:val="28"/>
          <w:szCs w:val="28"/>
        </w:rPr>
        <w:t xml:space="preserve">authentisch </w:t>
      </w:r>
      <w:r w:rsidR="007C38F9" w:rsidRPr="00974B5E">
        <w:rPr>
          <w:sz w:val="28"/>
          <w:szCs w:val="28"/>
        </w:rPr>
        <w:t>vom Bayerischen Landesamt für Statistik; sie wurden</w:t>
      </w:r>
      <w:r w:rsidR="00E54E0B">
        <w:rPr>
          <w:sz w:val="28"/>
          <w:szCs w:val="28"/>
        </w:rPr>
        <w:t xml:space="preserve"> </w:t>
      </w:r>
      <w:r w:rsidR="007C38F9" w:rsidRPr="00974B5E">
        <w:rPr>
          <w:sz w:val="28"/>
          <w:szCs w:val="28"/>
        </w:rPr>
        <w:t>für die Fragestellung aufberei</w:t>
      </w:r>
      <w:r w:rsidR="00D41AE0">
        <w:rPr>
          <w:sz w:val="28"/>
          <w:szCs w:val="28"/>
        </w:rPr>
        <w:t xml:space="preserve">tet und neu </w:t>
      </w:r>
      <w:r w:rsidR="007C38F9" w:rsidRPr="00974B5E">
        <w:rPr>
          <w:sz w:val="28"/>
          <w:szCs w:val="28"/>
        </w:rPr>
        <w:t>berechn</w:t>
      </w:r>
      <w:r>
        <w:rPr>
          <w:sz w:val="28"/>
          <w:szCs w:val="28"/>
        </w:rPr>
        <w:t xml:space="preserve">et. </w:t>
      </w:r>
    </w:p>
    <w:p w:rsidR="007C38F9" w:rsidRPr="00974B5E" w:rsidRDefault="007C38F9" w:rsidP="007C38F9">
      <w:pPr>
        <w:rPr>
          <w:sz w:val="28"/>
          <w:szCs w:val="28"/>
        </w:rPr>
      </w:pPr>
    </w:p>
    <w:p w:rsidR="005215CC" w:rsidRDefault="008D2D7F">
      <w:pPr>
        <w:rPr>
          <w:noProof/>
          <w:sz w:val="28"/>
          <w:szCs w:val="28"/>
          <w:lang w:eastAsia="de-DE"/>
        </w:rPr>
      </w:pPr>
      <w:r>
        <w:rPr>
          <w:noProof/>
          <w:lang w:eastAsia="de-DE"/>
        </w:rPr>
        <w:lastRenderedPageBreak/>
        <w:drawing>
          <wp:inline distT="0" distB="0" distL="0" distR="0" wp14:anchorId="659962FA" wp14:editId="48770422">
            <wp:extent cx="6649278" cy="3995531"/>
            <wp:effectExtent l="0" t="0" r="18415" b="508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2602" w:rsidRDefault="00E72602" w:rsidP="007C38F9">
      <w:pPr>
        <w:rPr>
          <w:sz w:val="28"/>
          <w:szCs w:val="28"/>
        </w:rPr>
      </w:pPr>
      <w:r>
        <w:rPr>
          <w:sz w:val="28"/>
          <w:szCs w:val="28"/>
        </w:rPr>
        <w:t>Abb. 1: Entwicklun</w:t>
      </w:r>
      <w:r w:rsidR="005215CC">
        <w:rPr>
          <w:sz w:val="28"/>
          <w:szCs w:val="28"/>
        </w:rPr>
        <w:t>g der Separationswerte (SW) und Inklusionswerte (IW) von Schüler*innen mit sonderpädagogischem Förderbedarf in Bayern</w:t>
      </w:r>
      <w:r w:rsidR="002868BF">
        <w:rPr>
          <w:sz w:val="28"/>
          <w:szCs w:val="28"/>
        </w:rPr>
        <w:t xml:space="preserve"> (absolute Werte)</w:t>
      </w:r>
    </w:p>
    <w:p w:rsidR="007C38F9" w:rsidRDefault="007C38F9" w:rsidP="007C38F9">
      <w:pPr>
        <w:rPr>
          <w:sz w:val="28"/>
          <w:szCs w:val="28"/>
        </w:rPr>
      </w:pPr>
    </w:p>
    <w:p w:rsidR="007C38F9" w:rsidRDefault="0042211C" w:rsidP="007C38F9">
      <w:pPr>
        <w:rPr>
          <w:sz w:val="28"/>
          <w:szCs w:val="28"/>
        </w:rPr>
      </w:pPr>
      <w:r>
        <w:rPr>
          <w:sz w:val="28"/>
          <w:szCs w:val="28"/>
        </w:rPr>
        <w:t xml:space="preserve">Der erste Eindruck </w:t>
      </w:r>
      <w:r w:rsidR="00E54E0B">
        <w:rPr>
          <w:sz w:val="28"/>
          <w:szCs w:val="28"/>
        </w:rPr>
        <w:t xml:space="preserve">aus Abb. 1 </w:t>
      </w:r>
      <w:r>
        <w:rPr>
          <w:sz w:val="28"/>
          <w:szCs w:val="28"/>
        </w:rPr>
        <w:t>ist</w:t>
      </w:r>
      <w:r w:rsidR="007C38F9" w:rsidRPr="00974B5E">
        <w:rPr>
          <w:sz w:val="28"/>
          <w:szCs w:val="28"/>
        </w:rPr>
        <w:t xml:space="preserve"> </w:t>
      </w:r>
      <w:r w:rsidR="007C38F9">
        <w:rPr>
          <w:sz w:val="28"/>
          <w:szCs w:val="28"/>
        </w:rPr>
        <w:t xml:space="preserve">durchaus </w:t>
      </w:r>
      <w:r w:rsidR="007C38F9" w:rsidRPr="00974B5E">
        <w:rPr>
          <w:sz w:val="28"/>
          <w:szCs w:val="28"/>
        </w:rPr>
        <w:t>positiv. Die eingangs formulierten Krite</w:t>
      </w:r>
      <w:r w:rsidR="00D41AE0">
        <w:rPr>
          <w:sz w:val="28"/>
          <w:szCs w:val="28"/>
        </w:rPr>
        <w:t xml:space="preserve">rien werden </w:t>
      </w:r>
      <w:r>
        <w:rPr>
          <w:sz w:val="28"/>
          <w:szCs w:val="28"/>
        </w:rPr>
        <w:t>scheinbar</w:t>
      </w:r>
      <w:r w:rsidR="007C38F9" w:rsidRPr="00974B5E">
        <w:rPr>
          <w:sz w:val="28"/>
          <w:szCs w:val="28"/>
        </w:rPr>
        <w:t xml:space="preserve"> vollauf erfüllt. Erstens geht die Anzahl der Förderschüler </w:t>
      </w:r>
      <w:r w:rsidR="00D41AE0">
        <w:rPr>
          <w:sz w:val="28"/>
          <w:szCs w:val="28"/>
        </w:rPr>
        <w:t>in Sonderschulen (</w:t>
      </w:r>
      <w:r w:rsidR="005215CC">
        <w:rPr>
          <w:sz w:val="28"/>
          <w:szCs w:val="28"/>
        </w:rPr>
        <w:t>Separationswerte</w:t>
      </w:r>
      <w:r w:rsidR="00D41AE0">
        <w:rPr>
          <w:sz w:val="28"/>
          <w:szCs w:val="28"/>
        </w:rPr>
        <w:t xml:space="preserve"> (</w:t>
      </w:r>
      <w:r w:rsidR="005215CC">
        <w:rPr>
          <w:sz w:val="28"/>
          <w:szCs w:val="28"/>
        </w:rPr>
        <w:t>SW</w:t>
      </w:r>
      <w:r w:rsidR="00D41AE0">
        <w:rPr>
          <w:sz w:val="28"/>
          <w:szCs w:val="28"/>
        </w:rPr>
        <w:t>)</w:t>
      </w:r>
      <w:r w:rsidR="007C38F9" w:rsidRPr="00974B5E">
        <w:rPr>
          <w:sz w:val="28"/>
          <w:szCs w:val="28"/>
        </w:rPr>
        <w:t xml:space="preserve">) kontinuierlich zurück. Zweitens steigt die Anzahl der inkludierten </w:t>
      </w:r>
      <w:r w:rsidR="00B25122">
        <w:rPr>
          <w:sz w:val="28"/>
          <w:szCs w:val="28"/>
        </w:rPr>
        <w:t>„</w:t>
      </w:r>
      <w:r w:rsidR="007C38F9" w:rsidRPr="00974B5E">
        <w:rPr>
          <w:sz w:val="28"/>
          <w:szCs w:val="28"/>
        </w:rPr>
        <w:t>Förderschüler</w:t>
      </w:r>
      <w:r w:rsidR="00B25122">
        <w:rPr>
          <w:sz w:val="28"/>
          <w:szCs w:val="28"/>
        </w:rPr>
        <w:t>“</w:t>
      </w:r>
      <w:r w:rsidR="007C38F9" w:rsidRPr="00974B5E">
        <w:rPr>
          <w:sz w:val="28"/>
          <w:szCs w:val="28"/>
        </w:rPr>
        <w:t xml:space="preserve"> in allgeme</w:t>
      </w:r>
      <w:r w:rsidR="00D41AE0">
        <w:rPr>
          <w:sz w:val="28"/>
          <w:szCs w:val="28"/>
        </w:rPr>
        <w:t>inen Schulen (</w:t>
      </w:r>
      <w:r w:rsidR="005215CC">
        <w:rPr>
          <w:sz w:val="28"/>
          <w:szCs w:val="28"/>
        </w:rPr>
        <w:t>Inklusionswerte</w:t>
      </w:r>
      <w:r w:rsidR="00D41AE0">
        <w:rPr>
          <w:sz w:val="28"/>
          <w:szCs w:val="28"/>
        </w:rPr>
        <w:t xml:space="preserve"> (</w:t>
      </w:r>
      <w:r w:rsidR="005215CC">
        <w:rPr>
          <w:sz w:val="28"/>
          <w:szCs w:val="28"/>
        </w:rPr>
        <w:t>IW</w:t>
      </w:r>
      <w:r w:rsidR="00D41AE0">
        <w:rPr>
          <w:sz w:val="28"/>
          <w:szCs w:val="28"/>
        </w:rPr>
        <w:t>)</w:t>
      </w:r>
      <w:r w:rsidR="007C38F9" w:rsidRPr="00974B5E">
        <w:rPr>
          <w:sz w:val="28"/>
          <w:szCs w:val="28"/>
        </w:rPr>
        <w:t xml:space="preserve">) kontinuierlich an, und zwar mit imponierenden Fortschrittssprüngen. </w:t>
      </w:r>
      <w:r w:rsidR="00D41AE0">
        <w:rPr>
          <w:sz w:val="28"/>
          <w:szCs w:val="28"/>
        </w:rPr>
        <w:t xml:space="preserve">Die </w:t>
      </w:r>
      <w:r w:rsidR="005215CC">
        <w:rPr>
          <w:sz w:val="28"/>
          <w:szCs w:val="28"/>
        </w:rPr>
        <w:t>Separationswerte</w:t>
      </w:r>
      <w:r w:rsidR="000F54A7">
        <w:rPr>
          <w:sz w:val="28"/>
          <w:szCs w:val="28"/>
        </w:rPr>
        <w:t xml:space="preserve"> fallen</w:t>
      </w:r>
      <w:r w:rsidR="007C38F9" w:rsidRPr="00974B5E">
        <w:rPr>
          <w:sz w:val="28"/>
          <w:szCs w:val="28"/>
        </w:rPr>
        <w:t xml:space="preserve">, die </w:t>
      </w:r>
      <w:r w:rsidR="005215CC">
        <w:rPr>
          <w:sz w:val="28"/>
          <w:szCs w:val="28"/>
        </w:rPr>
        <w:t>Inklusionswerte</w:t>
      </w:r>
      <w:r w:rsidR="000F54A7">
        <w:rPr>
          <w:sz w:val="28"/>
          <w:szCs w:val="28"/>
        </w:rPr>
        <w:t xml:space="preserve"> steigen</w:t>
      </w:r>
      <w:r w:rsidR="007C38F9" w:rsidRPr="00974B5E">
        <w:rPr>
          <w:sz w:val="28"/>
          <w:szCs w:val="28"/>
        </w:rPr>
        <w:t>! Der erste Eindruck ver</w:t>
      </w:r>
      <w:r w:rsidR="00E72602">
        <w:rPr>
          <w:sz w:val="28"/>
          <w:szCs w:val="28"/>
        </w:rPr>
        <w:t>spricht einen wunderbaren Traum. E</w:t>
      </w:r>
      <w:r w:rsidR="007C38F9" w:rsidRPr="00974B5E">
        <w:rPr>
          <w:sz w:val="28"/>
          <w:szCs w:val="28"/>
        </w:rPr>
        <w:t>in bayerisches Inklusionsmärchen</w:t>
      </w:r>
      <w:r w:rsidR="00E72602">
        <w:rPr>
          <w:sz w:val="28"/>
          <w:szCs w:val="28"/>
        </w:rPr>
        <w:t>?</w:t>
      </w:r>
    </w:p>
    <w:p w:rsidR="00E72602" w:rsidRPr="00974B5E" w:rsidRDefault="00E72602" w:rsidP="007C38F9">
      <w:pPr>
        <w:rPr>
          <w:sz w:val="28"/>
          <w:szCs w:val="28"/>
        </w:rPr>
      </w:pPr>
    </w:p>
    <w:p w:rsidR="007C38F9" w:rsidRDefault="007C38F9" w:rsidP="007C38F9">
      <w:pPr>
        <w:rPr>
          <w:sz w:val="28"/>
          <w:szCs w:val="28"/>
        </w:rPr>
      </w:pPr>
      <w:r w:rsidRPr="00974B5E">
        <w:rPr>
          <w:sz w:val="28"/>
          <w:szCs w:val="28"/>
        </w:rPr>
        <w:t>Der e</w:t>
      </w:r>
      <w:r w:rsidR="001F698D">
        <w:rPr>
          <w:sz w:val="28"/>
          <w:szCs w:val="28"/>
        </w:rPr>
        <w:t>rste Eindruck ist leider</w:t>
      </w:r>
      <w:r w:rsidRPr="00974B5E">
        <w:rPr>
          <w:sz w:val="28"/>
          <w:szCs w:val="28"/>
        </w:rPr>
        <w:t xml:space="preserve"> trügerisch. Wir müssen genauer hinschauen und kritisch nachfragen, ob erstens die Anzahl der Förderschüler in Sonderschulen („Sonderschüler“) wirklich zurückgegangen ist, und zweitens, was man von dem imposanten Anstieg der Anzahl der Förderschüler in allgemeinen Schulen („Inklusionsschüler“) zu halten hat.</w:t>
      </w:r>
    </w:p>
    <w:p w:rsidR="00F968BD" w:rsidRDefault="00F968BD" w:rsidP="007C38F9">
      <w:pPr>
        <w:rPr>
          <w:sz w:val="28"/>
          <w:szCs w:val="28"/>
        </w:rPr>
      </w:pPr>
    </w:p>
    <w:p w:rsidR="00B86915" w:rsidRDefault="00F968BD" w:rsidP="00F968BD">
      <w:pPr>
        <w:rPr>
          <w:sz w:val="28"/>
          <w:szCs w:val="28"/>
        </w:rPr>
      </w:pPr>
      <w:r w:rsidRPr="00176EE7">
        <w:rPr>
          <w:sz w:val="28"/>
          <w:szCs w:val="28"/>
        </w:rPr>
        <w:t>Ein inklusives Bildungssystem verlangt eine Minderung von Separation – so könnte ein Minimalkon</w:t>
      </w:r>
      <w:r w:rsidR="00B25122">
        <w:rPr>
          <w:sz w:val="28"/>
          <w:szCs w:val="28"/>
        </w:rPr>
        <w:t xml:space="preserve">sens aussehen. Jene </w:t>
      </w:r>
      <w:r w:rsidRPr="00176EE7">
        <w:rPr>
          <w:sz w:val="28"/>
          <w:szCs w:val="28"/>
        </w:rPr>
        <w:t>Kinder</w:t>
      </w:r>
      <w:r w:rsidR="00B25122">
        <w:rPr>
          <w:sz w:val="28"/>
          <w:szCs w:val="28"/>
        </w:rPr>
        <w:t xml:space="preserve"> mit Behinderung</w:t>
      </w:r>
      <w:r w:rsidRPr="00176EE7">
        <w:rPr>
          <w:sz w:val="28"/>
          <w:szCs w:val="28"/>
        </w:rPr>
        <w:t>, die bislang in Sonderschulen sind, sollen in näherer Zukunft in zunehmendem Maße allgemeine Regelschu</w:t>
      </w:r>
      <w:r w:rsidR="00B25122">
        <w:rPr>
          <w:sz w:val="28"/>
          <w:szCs w:val="28"/>
        </w:rPr>
        <w:t xml:space="preserve">len besuchen. </w:t>
      </w:r>
      <w:r w:rsidRPr="00176EE7">
        <w:rPr>
          <w:sz w:val="28"/>
          <w:szCs w:val="28"/>
        </w:rPr>
        <w:t xml:space="preserve">Die Anzahl der Sonderschüler muss </w:t>
      </w:r>
      <w:r w:rsidR="00B25122">
        <w:rPr>
          <w:sz w:val="28"/>
          <w:szCs w:val="28"/>
        </w:rPr>
        <w:t xml:space="preserve">folglich </w:t>
      </w:r>
      <w:r w:rsidRPr="00176EE7">
        <w:rPr>
          <w:sz w:val="28"/>
          <w:szCs w:val="28"/>
        </w:rPr>
        <w:t xml:space="preserve">immer weniger werden, wenn von Inklusion in redlicher Weise gesprochen werden soll. Es ist keine Inklusion, wenn </w:t>
      </w:r>
      <w:r w:rsidR="00D41AE0">
        <w:rPr>
          <w:sz w:val="28"/>
          <w:szCs w:val="28"/>
        </w:rPr>
        <w:t xml:space="preserve">die bislang separierten </w:t>
      </w:r>
      <w:r w:rsidRPr="00176EE7">
        <w:rPr>
          <w:sz w:val="28"/>
          <w:szCs w:val="28"/>
        </w:rPr>
        <w:t>Schüler</w:t>
      </w:r>
      <w:r w:rsidR="00D41AE0">
        <w:rPr>
          <w:sz w:val="28"/>
          <w:szCs w:val="28"/>
        </w:rPr>
        <w:t>*innen</w:t>
      </w:r>
      <w:r w:rsidRPr="00176EE7">
        <w:rPr>
          <w:sz w:val="28"/>
          <w:szCs w:val="28"/>
        </w:rPr>
        <w:t xml:space="preserve"> mit Behinderungen weiterhin </w:t>
      </w:r>
      <w:r w:rsidRPr="00176EE7">
        <w:rPr>
          <w:sz w:val="28"/>
          <w:szCs w:val="28"/>
        </w:rPr>
        <w:lastRenderedPageBreak/>
        <w:t xml:space="preserve">wie gehabt in den Sonderschulen verbleiben. Inklusion ist </w:t>
      </w:r>
      <w:r w:rsidR="001F698D">
        <w:rPr>
          <w:sz w:val="28"/>
          <w:szCs w:val="28"/>
        </w:rPr>
        <w:t>ohne eine Reduktion der Separationswerte</w:t>
      </w:r>
      <w:r w:rsidRPr="00176EE7">
        <w:rPr>
          <w:sz w:val="28"/>
          <w:szCs w:val="28"/>
        </w:rPr>
        <w:t xml:space="preserve"> nicht zu haben, daran führt kein Weg vorbei. </w:t>
      </w:r>
    </w:p>
    <w:p w:rsidR="001F698D" w:rsidRDefault="001F698D" w:rsidP="00F968BD">
      <w:pPr>
        <w:rPr>
          <w:sz w:val="28"/>
          <w:szCs w:val="28"/>
        </w:rPr>
      </w:pPr>
    </w:p>
    <w:p w:rsidR="00B86915" w:rsidRDefault="00B86915" w:rsidP="00B86915">
      <w:pPr>
        <w:rPr>
          <w:sz w:val="28"/>
          <w:szCs w:val="28"/>
        </w:rPr>
      </w:pPr>
      <w:r w:rsidRPr="00974B5E">
        <w:rPr>
          <w:sz w:val="28"/>
          <w:szCs w:val="28"/>
        </w:rPr>
        <w:t xml:space="preserve">Bayern soll in dieser Analyse nicht anderen Bundesländern vergleichend gegenübergestellt, sondern mit sich selbst verglichen werden. Weil es um die Darstellung einer Entwicklung geht, wird </w:t>
      </w:r>
      <w:r>
        <w:rPr>
          <w:sz w:val="28"/>
          <w:szCs w:val="28"/>
        </w:rPr>
        <w:t xml:space="preserve">in Abb. 2 </w:t>
      </w:r>
      <w:r w:rsidRPr="00974B5E">
        <w:rPr>
          <w:sz w:val="28"/>
          <w:szCs w:val="28"/>
        </w:rPr>
        <w:t xml:space="preserve">das Schuljahr 2008/09, also das letzte Jahr vor der Ratifizierung der UN-BRK, als Referenzjahr benutzt; die jeweiligen Veränderungen in den folgenden Schuljahren werden dann als prozentuale Abweichungen von diesem Ausgangsjahr </w:t>
      </w:r>
      <w:r w:rsidR="001F698D">
        <w:rPr>
          <w:sz w:val="28"/>
          <w:szCs w:val="28"/>
        </w:rPr>
        <w:t xml:space="preserve">(= 100 Prozent) </w:t>
      </w:r>
      <w:r w:rsidRPr="00974B5E">
        <w:rPr>
          <w:sz w:val="28"/>
          <w:szCs w:val="28"/>
        </w:rPr>
        <w:t>dargestellt.</w:t>
      </w:r>
    </w:p>
    <w:p w:rsidR="007C38F9" w:rsidRDefault="007C38F9" w:rsidP="007C38F9">
      <w:pPr>
        <w:rPr>
          <w:sz w:val="28"/>
          <w:szCs w:val="28"/>
        </w:rPr>
      </w:pPr>
    </w:p>
    <w:p w:rsidR="007C38F9" w:rsidRDefault="00412B48" w:rsidP="007C38F9">
      <w:pPr>
        <w:rPr>
          <w:sz w:val="28"/>
          <w:szCs w:val="28"/>
        </w:rPr>
      </w:pPr>
      <w:r>
        <w:rPr>
          <w:noProof/>
          <w:sz w:val="28"/>
          <w:szCs w:val="28"/>
          <w:lang w:eastAsia="de-DE"/>
        </w:rPr>
        <w:drawing>
          <wp:inline distT="0" distB="0" distL="0" distR="0" wp14:anchorId="7252B412">
            <wp:extent cx="6546625" cy="4231638"/>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1803" cy="4254376"/>
                    </a:xfrm>
                    <a:prstGeom prst="rect">
                      <a:avLst/>
                    </a:prstGeom>
                    <a:noFill/>
                  </pic:spPr>
                </pic:pic>
              </a:graphicData>
            </a:graphic>
          </wp:inline>
        </w:drawing>
      </w:r>
    </w:p>
    <w:p w:rsidR="00F968BD" w:rsidRDefault="00F968BD" w:rsidP="007C38F9">
      <w:pPr>
        <w:rPr>
          <w:sz w:val="28"/>
          <w:szCs w:val="28"/>
        </w:rPr>
      </w:pPr>
      <w:r>
        <w:rPr>
          <w:sz w:val="28"/>
          <w:szCs w:val="28"/>
        </w:rPr>
        <w:t xml:space="preserve">Abb. 2: Entwicklung der </w:t>
      </w:r>
      <w:r w:rsidR="005215CC">
        <w:rPr>
          <w:sz w:val="28"/>
          <w:szCs w:val="28"/>
        </w:rPr>
        <w:t>Separationswerte</w:t>
      </w:r>
      <w:r>
        <w:rPr>
          <w:sz w:val="28"/>
          <w:szCs w:val="28"/>
        </w:rPr>
        <w:t xml:space="preserve"> (</w:t>
      </w:r>
      <w:r w:rsidR="005215CC">
        <w:rPr>
          <w:sz w:val="28"/>
          <w:szCs w:val="28"/>
        </w:rPr>
        <w:t>SW</w:t>
      </w:r>
      <w:r>
        <w:rPr>
          <w:sz w:val="28"/>
          <w:szCs w:val="28"/>
        </w:rPr>
        <w:t xml:space="preserve">) </w:t>
      </w:r>
      <w:r w:rsidR="00692DDC">
        <w:rPr>
          <w:sz w:val="28"/>
          <w:szCs w:val="28"/>
        </w:rPr>
        <w:t>von Förderschülern und des Rückgangs der Regels</w:t>
      </w:r>
      <w:r>
        <w:rPr>
          <w:sz w:val="28"/>
          <w:szCs w:val="28"/>
        </w:rPr>
        <w:t>chüler*innen in allgemeinen Schulen</w:t>
      </w:r>
      <w:r w:rsidR="00692DDC">
        <w:rPr>
          <w:sz w:val="28"/>
          <w:szCs w:val="28"/>
        </w:rPr>
        <w:t xml:space="preserve"> (RS)</w:t>
      </w:r>
    </w:p>
    <w:p w:rsidR="00F968BD" w:rsidRDefault="00F968BD" w:rsidP="007C38F9">
      <w:pPr>
        <w:rPr>
          <w:sz w:val="28"/>
          <w:szCs w:val="28"/>
        </w:rPr>
      </w:pPr>
    </w:p>
    <w:p w:rsidR="00954BBE" w:rsidRDefault="00050AD0" w:rsidP="007C38F9">
      <w:pPr>
        <w:rPr>
          <w:sz w:val="28"/>
          <w:szCs w:val="28"/>
        </w:rPr>
      </w:pPr>
      <w:r>
        <w:rPr>
          <w:sz w:val="28"/>
          <w:szCs w:val="28"/>
        </w:rPr>
        <w:t>Die Säulen in Abb. 2 demonstrieren den allgemeinen Schülerrückgang</w:t>
      </w:r>
      <w:r w:rsidR="00546EF5">
        <w:rPr>
          <w:sz w:val="28"/>
          <w:szCs w:val="28"/>
        </w:rPr>
        <w:t xml:space="preserve"> (RS); er b</w:t>
      </w:r>
      <w:r w:rsidR="007F5ABE">
        <w:rPr>
          <w:sz w:val="28"/>
          <w:szCs w:val="28"/>
        </w:rPr>
        <w:t>et</w:t>
      </w:r>
      <w:r w:rsidR="00546EF5">
        <w:rPr>
          <w:sz w:val="28"/>
          <w:szCs w:val="28"/>
        </w:rPr>
        <w:t>rägt deutlich mehr als 10 Prozent. D</w:t>
      </w:r>
      <w:r>
        <w:rPr>
          <w:sz w:val="28"/>
          <w:szCs w:val="28"/>
        </w:rPr>
        <w:t>ie Linie bildet den Schülerrückgang in den Förderschulen</w:t>
      </w:r>
      <w:r w:rsidR="00546EF5">
        <w:rPr>
          <w:sz w:val="28"/>
          <w:szCs w:val="28"/>
        </w:rPr>
        <w:t xml:space="preserve"> (SW)</w:t>
      </w:r>
      <w:r>
        <w:rPr>
          <w:sz w:val="28"/>
          <w:szCs w:val="28"/>
        </w:rPr>
        <w:t xml:space="preserve"> ab. Wenn in Sonderschulen die Schülerzahlen nicht nur aufgrund des allgemeinen Schülerrückgang von mehr als 10 Prozent zurückgehen, sondern gemäß der Inklusionsforderung zusätzlich durch eine Minderung der Separation geringer werden sollen, dann müsste eigentlich die Entwicklung der Separationsquote (Linie in Abb. 2) deutlich den Entwicklungstrend des allgemeinen Schülerrückgangs (Säulen in Abb. 2) unterschreiten. </w:t>
      </w:r>
      <w:r w:rsidR="00F968BD">
        <w:rPr>
          <w:sz w:val="28"/>
          <w:szCs w:val="28"/>
        </w:rPr>
        <w:t xml:space="preserve">Die Abb. 2 belegt </w:t>
      </w:r>
      <w:r w:rsidR="00D41AE0">
        <w:rPr>
          <w:sz w:val="28"/>
          <w:szCs w:val="28"/>
        </w:rPr>
        <w:t xml:space="preserve">zwar </w:t>
      </w:r>
      <w:r w:rsidR="00F968BD">
        <w:rPr>
          <w:sz w:val="28"/>
          <w:szCs w:val="28"/>
        </w:rPr>
        <w:t xml:space="preserve">deutlich, dass </w:t>
      </w:r>
      <w:r w:rsidR="00D41AE0">
        <w:rPr>
          <w:sz w:val="28"/>
          <w:szCs w:val="28"/>
        </w:rPr>
        <w:t xml:space="preserve">die </w:t>
      </w:r>
      <w:r w:rsidR="005215CC">
        <w:rPr>
          <w:sz w:val="28"/>
          <w:szCs w:val="28"/>
        </w:rPr>
        <w:t>Separationswerte</w:t>
      </w:r>
      <w:r w:rsidR="00D41AE0">
        <w:rPr>
          <w:sz w:val="28"/>
          <w:szCs w:val="28"/>
        </w:rPr>
        <w:t xml:space="preserve"> durchaus geringer wurde</w:t>
      </w:r>
      <w:r w:rsidR="00692DDC">
        <w:rPr>
          <w:sz w:val="28"/>
          <w:szCs w:val="28"/>
        </w:rPr>
        <w:t>n</w:t>
      </w:r>
      <w:r w:rsidR="00D41AE0">
        <w:rPr>
          <w:sz w:val="28"/>
          <w:szCs w:val="28"/>
        </w:rPr>
        <w:t xml:space="preserve">, dass aber </w:t>
      </w:r>
      <w:r w:rsidR="00F968BD">
        <w:rPr>
          <w:sz w:val="28"/>
          <w:szCs w:val="28"/>
        </w:rPr>
        <w:t xml:space="preserve">der Rückgang der Schülerzahlen in Sonderschulen und in den allgemeinen Schulen </w:t>
      </w:r>
      <w:r>
        <w:rPr>
          <w:sz w:val="28"/>
          <w:szCs w:val="28"/>
        </w:rPr>
        <w:t xml:space="preserve">bis 2015/16 </w:t>
      </w:r>
      <w:r w:rsidR="00F968BD">
        <w:rPr>
          <w:sz w:val="28"/>
          <w:szCs w:val="28"/>
        </w:rPr>
        <w:lastRenderedPageBreak/>
        <w:t>weitgehend parallel verlief; seit 2016/17 is</w:t>
      </w:r>
      <w:r w:rsidR="005215CC">
        <w:rPr>
          <w:sz w:val="28"/>
          <w:szCs w:val="28"/>
        </w:rPr>
        <w:t>t sogar</w:t>
      </w:r>
      <w:r w:rsidR="00B23F50">
        <w:rPr>
          <w:sz w:val="28"/>
          <w:szCs w:val="28"/>
        </w:rPr>
        <w:t>,</w:t>
      </w:r>
      <w:r w:rsidR="005215CC">
        <w:rPr>
          <w:sz w:val="28"/>
          <w:szCs w:val="28"/>
        </w:rPr>
        <w:t xml:space="preserve"> </w:t>
      </w:r>
      <w:r w:rsidR="00B23F50">
        <w:rPr>
          <w:sz w:val="28"/>
          <w:szCs w:val="28"/>
        </w:rPr>
        <w:t xml:space="preserve">gegenläufig zum allgemeinen Schülerrückgang, </w:t>
      </w:r>
      <w:r w:rsidR="00692DDC">
        <w:rPr>
          <w:sz w:val="28"/>
          <w:szCs w:val="28"/>
        </w:rPr>
        <w:t xml:space="preserve">wieder </w:t>
      </w:r>
      <w:r w:rsidR="005215CC">
        <w:rPr>
          <w:sz w:val="28"/>
          <w:szCs w:val="28"/>
        </w:rPr>
        <w:t>ein stärkerer Anstieg der Separation in Förderschulen</w:t>
      </w:r>
      <w:r w:rsidR="00F968BD">
        <w:rPr>
          <w:sz w:val="28"/>
          <w:szCs w:val="28"/>
        </w:rPr>
        <w:t xml:space="preserve"> zu beobachten. </w:t>
      </w:r>
      <w:r w:rsidR="00122517" w:rsidRPr="00721ADA">
        <w:rPr>
          <w:sz w:val="28"/>
          <w:szCs w:val="28"/>
        </w:rPr>
        <w:t xml:space="preserve">Im Jahr 2018/19 erreicht Bayern </w:t>
      </w:r>
      <w:r w:rsidR="00122517" w:rsidRPr="00B875CE">
        <w:rPr>
          <w:sz w:val="28"/>
          <w:szCs w:val="28"/>
        </w:rPr>
        <w:t xml:space="preserve">mit </w:t>
      </w:r>
      <w:r w:rsidR="00BA780F" w:rsidRPr="00B875CE">
        <w:rPr>
          <w:sz w:val="28"/>
          <w:szCs w:val="28"/>
        </w:rPr>
        <w:t>4,7</w:t>
      </w:r>
      <w:r w:rsidR="00122517" w:rsidRPr="00B875CE">
        <w:rPr>
          <w:sz w:val="28"/>
          <w:szCs w:val="28"/>
        </w:rPr>
        <w:t xml:space="preserve"> </w:t>
      </w:r>
      <w:r w:rsidR="00122517" w:rsidRPr="00721ADA">
        <w:rPr>
          <w:sz w:val="28"/>
          <w:szCs w:val="28"/>
        </w:rPr>
        <w:t>Prozent</w:t>
      </w:r>
      <w:r w:rsidR="00954BBE" w:rsidRPr="00721ADA">
        <w:rPr>
          <w:sz w:val="28"/>
          <w:szCs w:val="28"/>
        </w:rPr>
        <w:t xml:space="preserve"> die</w:t>
      </w:r>
      <w:r w:rsidR="004907A9">
        <w:rPr>
          <w:sz w:val="28"/>
          <w:szCs w:val="28"/>
        </w:rPr>
        <w:t xml:space="preserve"> höchste Separation</w:t>
      </w:r>
      <w:r w:rsidR="004056A6" w:rsidRPr="00721ADA">
        <w:rPr>
          <w:sz w:val="28"/>
          <w:szCs w:val="28"/>
        </w:rPr>
        <w:t>squote seit 2000</w:t>
      </w:r>
      <w:r w:rsidR="00424856" w:rsidRPr="00721ADA">
        <w:rPr>
          <w:sz w:val="28"/>
          <w:szCs w:val="28"/>
        </w:rPr>
        <w:t>!</w:t>
      </w:r>
      <w:r w:rsidR="004056A6" w:rsidRPr="00721ADA">
        <w:rPr>
          <w:sz w:val="28"/>
          <w:szCs w:val="28"/>
        </w:rPr>
        <w:t xml:space="preserve"> </w:t>
      </w:r>
      <w:r w:rsidR="00D81544" w:rsidRPr="00721ADA">
        <w:rPr>
          <w:sz w:val="28"/>
          <w:szCs w:val="28"/>
        </w:rPr>
        <w:t xml:space="preserve">Ironie der Geschichte: </w:t>
      </w:r>
      <w:r w:rsidR="004056A6" w:rsidRPr="00721ADA">
        <w:rPr>
          <w:sz w:val="28"/>
          <w:szCs w:val="28"/>
        </w:rPr>
        <w:t>Dieser Spitzenwert wird ausgerechnet in einer Zeit errungen, in der</w:t>
      </w:r>
      <w:r w:rsidR="00954BBE" w:rsidRPr="00721ADA">
        <w:rPr>
          <w:sz w:val="28"/>
          <w:szCs w:val="28"/>
        </w:rPr>
        <w:t xml:space="preserve"> die bayerische Bildungspolitik offiziell die Fahne der </w:t>
      </w:r>
      <w:r w:rsidR="00C6715F" w:rsidRPr="00721ADA">
        <w:rPr>
          <w:sz w:val="28"/>
          <w:szCs w:val="28"/>
        </w:rPr>
        <w:t>Inklusion gehisst hat und vollmundig verkündet:</w:t>
      </w:r>
      <w:r w:rsidR="00F02C3D" w:rsidRPr="00721ADA">
        <w:rPr>
          <w:sz w:val="28"/>
          <w:szCs w:val="28"/>
        </w:rPr>
        <w:t xml:space="preserve"> </w:t>
      </w:r>
      <w:r w:rsidR="00424856">
        <w:rPr>
          <w:sz w:val="28"/>
          <w:szCs w:val="28"/>
        </w:rPr>
        <w:t>„</w:t>
      </w:r>
      <w:r w:rsidR="00424856" w:rsidRPr="00424856">
        <w:rPr>
          <w:sz w:val="28"/>
          <w:szCs w:val="28"/>
        </w:rPr>
        <w:t>Die Inklusion gehört zu den Kernaufgab</w:t>
      </w:r>
      <w:r w:rsidR="00424856">
        <w:rPr>
          <w:sz w:val="28"/>
          <w:szCs w:val="28"/>
        </w:rPr>
        <w:t>en des bayerischen Schulsystems</w:t>
      </w:r>
      <w:r w:rsidR="004056A6">
        <w:rPr>
          <w:sz w:val="28"/>
          <w:szCs w:val="28"/>
        </w:rPr>
        <w:t>!</w:t>
      </w:r>
      <w:r w:rsidR="00424856">
        <w:rPr>
          <w:sz w:val="28"/>
          <w:szCs w:val="28"/>
        </w:rPr>
        <w:t>“</w:t>
      </w:r>
      <w:r w:rsidR="004056A6">
        <w:rPr>
          <w:sz w:val="28"/>
          <w:szCs w:val="28"/>
        </w:rPr>
        <w:t xml:space="preserve"> (KM</w:t>
      </w:r>
      <w:r w:rsidR="00ED50BF">
        <w:rPr>
          <w:sz w:val="28"/>
          <w:szCs w:val="28"/>
        </w:rPr>
        <w:t>B</w:t>
      </w:r>
      <w:r w:rsidR="004056A6">
        <w:rPr>
          <w:sz w:val="28"/>
          <w:szCs w:val="28"/>
        </w:rPr>
        <w:t xml:space="preserve"> 2</w:t>
      </w:r>
      <w:r w:rsidR="00424856">
        <w:rPr>
          <w:sz w:val="28"/>
          <w:szCs w:val="28"/>
        </w:rPr>
        <w:t>019).</w:t>
      </w:r>
    </w:p>
    <w:p w:rsidR="00954BBE" w:rsidRDefault="00954BBE" w:rsidP="007C38F9">
      <w:pPr>
        <w:rPr>
          <w:sz w:val="28"/>
          <w:szCs w:val="28"/>
        </w:rPr>
      </w:pPr>
    </w:p>
    <w:p w:rsidR="00A57E6E" w:rsidRDefault="00122517" w:rsidP="007C38F9">
      <w:pPr>
        <w:rPr>
          <w:sz w:val="28"/>
          <w:szCs w:val="28"/>
        </w:rPr>
      </w:pPr>
      <w:r>
        <w:rPr>
          <w:sz w:val="28"/>
          <w:szCs w:val="28"/>
        </w:rPr>
        <w:t>Die Abb. 2 veranschaulicht die empirische Realität</w:t>
      </w:r>
      <w:r w:rsidR="00A57E6E">
        <w:rPr>
          <w:sz w:val="28"/>
          <w:szCs w:val="28"/>
        </w:rPr>
        <w:t xml:space="preserve">: </w:t>
      </w:r>
      <w:r w:rsidR="00D41AE0">
        <w:rPr>
          <w:sz w:val="28"/>
          <w:szCs w:val="28"/>
        </w:rPr>
        <w:t>Die Schülerzahlen der F</w:t>
      </w:r>
      <w:r w:rsidR="003C2CF3">
        <w:rPr>
          <w:sz w:val="28"/>
          <w:szCs w:val="28"/>
        </w:rPr>
        <w:t>örderschulen sind</w:t>
      </w:r>
      <w:r w:rsidR="00D41AE0">
        <w:rPr>
          <w:sz w:val="28"/>
          <w:szCs w:val="28"/>
        </w:rPr>
        <w:t xml:space="preserve"> bestenfalls </w:t>
      </w:r>
      <w:r w:rsidR="003C2CF3">
        <w:rPr>
          <w:sz w:val="28"/>
          <w:szCs w:val="28"/>
        </w:rPr>
        <w:t>im gleichen Umfang zurückgegangen wie die Schülerzahlen in den allgemeinen Schulen auch. Die Förderschulen haben zwar durchaus in dem Zeitraum Schüler verloren, aber diese</w:t>
      </w:r>
      <w:r w:rsidR="00A57E6E">
        <w:rPr>
          <w:sz w:val="28"/>
          <w:szCs w:val="28"/>
        </w:rPr>
        <w:t xml:space="preserve"> quantitativen Einbußen </w:t>
      </w:r>
      <w:r w:rsidR="003C2CF3">
        <w:rPr>
          <w:sz w:val="28"/>
          <w:szCs w:val="28"/>
        </w:rPr>
        <w:t xml:space="preserve">sind dem allgemeinen Schülerrückgang zuzuschreiben und nicht </w:t>
      </w:r>
      <w:r w:rsidR="00A57E6E">
        <w:rPr>
          <w:sz w:val="28"/>
          <w:szCs w:val="28"/>
        </w:rPr>
        <w:t>durc</w:t>
      </w:r>
      <w:r w:rsidR="003C2CF3">
        <w:rPr>
          <w:sz w:val="28"/>
          <w:szCs w:val="28"/>
        </w:rPr>
        <w:t>h die Inklusion bedingt</w:t>
      </w:r>
      <w:r w:rsidR="00A57E6E">
        <w:rPr>
          <w:sz w:val="28"/>
          <w:szCs w:val="28"/>
        </w:rPr>
        <w:t>. Die Förder- bzw. Sonderschulen haben sich relativ schadlos gehalten und ihre Schulen weiterhin gut gefüllt. Mi</w:t>
      </w:r>
      <w:r w:rsidR="003C2CF3">
        <w:rPr>
          <w:sz w:val="28"/>
          <w:szCs w:val="28"/>
        </w:rPr>
        <w:t>ndestens der prozentual gleiche</w:t>
      </w:r>
      <w:r w:rsidR="00A57E6E">
        <w:rPr>
          <w:sz w:val="28"/>
          <w:szCs w:val="28"/>
        </w:rPr>
        <w:t xml:space="preserve"> Anteil der Schüler*innen mit sonderpädagogisch</w:t>
      </w:r>
      <w:r w:rsidR="003C2CF3">
        <w:rPr>
          <w:sz w:val="28"/>
          <w:szCs w:val="28"/>
        </w:rPr>
        <w:t xml:space="preserve">en Förderbedarf verharrt </w:t>
      </w:r>
      <w:r w:rsidR="001C0939">
        <w:rPr>
          <w:sz w:val="28"/>
          <w:szCs w:val="28"/>
        </w:rPr>
        <w:t xml:space="preserve">also </w:t>
      </w:r>
      <w:r w:rsidR="003C2CF3">
        <w:rPr>
          <w:sz w:val="28"/>
          <w:szCs w:val="28"/>
        </w:rPr>
        <w:t>wie eh</w:t>
      </w:r>
      <w:r w:rsidR="00A57E6E">
        <w:rPr>
          <w:sz w:val="28"/>
          <w:szCs w:val="28"/>
        </w:rPr>
        <w:t xml:space="preserve"> und je weiterhin in Sonderschulen. </w:t>
      </w:r>
      <w:r w:rsidR="00F72ABE">
        <w:rPr>
          <w:sz w:val="28"/>
          <w:szCs w:val="28"/>
        </w:rPr>
        <w:t xml:space="preserve">Die Inklusion ist an den bayerischen Förderschulen spurlos vorbeigegangen. Die bayerische Inklusion findet ohne eine </w:t>
      </w:r>
      <w:r w:rsidR="00B86915">
        <w:rPr>
          <w:sz w:val="28"/>
          <w:szCs w:val="28"/>
        </w:rPr>
        <w:t xml:space="preserve">wirkliche </w:t>
      </w:r>
      <w:r w:rsidR="00F72ABE">
        <w:rPr>
          <w:sz w:val="28"/>
          <w:szCs w:val="28"/>
        </w:rPr>
        <w:t>„Integration“ der Förderschüler in allgemeine Schulen statt.</w:t>
      </w:r>
      <w:r w:rsidR="00F72ABE" w:rsidRPr="00F72ABE">
        <w:rPr>
          <w:sz w:val="28"/>
          <w:szCs w:val="28"/>
        </w:rPr>
        <w:t xml:space="preserve"> </w:t>
      </w:r>
      <w:r w:rsidR="00F72ABE">
        <w:rPr>
          <w:sz w:val="28"/>
          <w:szCs w:val="28"/>
        </w:rPr>
        <w:t>Separation as usual.</w:t>
      </w:r>
    </w:p>
    <w:p w:rsidR="00F72ABE" w:rsidRDefault="00F72ABE" w:rsidP="007C38F9">
      <w:pPr>
        <w:rPr>
          <w:sz w:val="28"/>
          <w:szCs w:val="28"/>
        </w:rPr>
      </w:pPr>
    </w:p>
    <w:p w:rsidR="007C38F9" w:rsidRDefault="00F72ABE" w:rsidP="007C38F9">
      <w:pPr>
        <w:rPr>
          <w:sz w:val="28"/>
          <w:szCs w:val="28"/>
        </w:rPr>
      </w:pPr>
      <w:r>
        <w:rPr>
          <w:sz w:val="28"/>
          <w:szCs w:val="28"/>
        </w:rPr>
        <w:t>Und w</w:t>
      </w:r>
      <w:r w:rsidR="00692DDC">
        <w:rPr>
          <w:sz w:val="28"/>
          <w:szCs w:val="28"/>
        </w:rPr>
        <w:t>as ist von den gestiegenen</w:t>
      </w:r>
      <w:r w:rsidR="007C38F9">
        <w:rPr>
          <w:sz w:val="28"/>
          <w:szCs w:val="28"/>
        </w:rPr>
        <w:t xml:space="preserve"> </w:t>
      </w:r>
      <w:r w:rsidR="005215CC">
        <w:rPr>
          <w:sz w:val="28"/>
          <w:szCs w:val="28"/>
        </w:rPr>
        <w:t>Inklusionswerte</w:t>
      </w:r>
      <w:r w:rsidR="00692DDC">
        <w:rPr>
          <w:sz w:val="28"/>
          <w:szCs w:val="28"/>
        </w:rPr>
        <w:t>n</w:t>
      </w:r>
      <w:r w:rsidR="007C38F9">
        <w:rPr>
          <w:sz w:val="28"/>
          <w:szCs w:val="28"/>
        </w:rPr>
        <w:t xml:space="preserve"> zu halten</w:t>
      </w:r>
      <w:r w:rsidR="00546EF5">
        <w:rPr>
          <w:sz w:val="28"/>
          <w:szCs w:val="28"/>
        </w:rPr>
        <w:t xml:space="preserve"> (Abb. 1)</w:t>
      </w:r>
      <w:r w:rsidR="007C38F9">
        <w:rPr>
          <w:sz w:val="28"/>
          <w:szCs w:val="28"/>
        </w:rPr>
        <w:t>?</w:t>
      </w:r>
      <w:r>
        <w:rPr>
          <w:sz w:val="28"/>
          <w:szCs w:val="28"/>
        </w:rPr>
        <w:t xml:space="preserve"> Inklusion und Separation verhalten sich in der bayerischen Inklusionsentwicklung gerade nicht wie kommunizierende Röhren, wi</w:t>
      </w:r>
      <w:r w:rsidR="00E54E0B">
        <w:rPr>
          <w:sz w:val="28"/>
          <w:szCs w:val="28"/>
        </w:rPr>
        <w:t>e eingangs postuliert. D</w:t>
      </w:r>
      <w:r>
        <w:rPr>
          <w:sz w:val="28"/>
          <w:szCs w:val="28"/>
        </w:rPr>
        <w:t xml:space="preserve">ie empirischen Statistiken vermelden </w:t>
      </w:r>
      <w:r w:rsidR="00E54E0B">
        <w:rPr>
          <w:sz w:val="28"/>
          <w:szCs w:val="28"/>
        </w:rPr>
        <w:t xml:space="preserve">zwar </w:t>
      </w:r>
      <w:r>
        <w:rPr>
          <w:sz w:val="28"/>
          <w:szCs w:val="28"/>
        </w:rPr>
        <w:t xml:space="preserve">einen rasanten Anstieg der </w:t>
      </w:r>
      <w:r w:rsidR="005215CC">
        <w:rPr>
          <w:sz w:val="28"/>
          <w:szCs w:val="28"/>
        </w:rPr>
        <w:t>Inklusionswerte</w:t>
      </w:r>
      <w:r w:rsidR="00E54E0B">
        <w:rPr>
          <w:sz w:val="28"/>
          <w:szCs w:val="28"/>
        </w:rPr>
        <w:t>, aber</w:t>
      </w:r>
      <w:r w:rsidR="001F698D">
        <w:rPr>
          <w:sz w:val="28"/>
          <w:szCs w:val="28"/>
        </w:rPr>
        <w:t xml:space="preserve"> bei</w:t>
      </w:r>
      <w:r w:rsidR="003C2CF3">
        <w:rPr>
          <w:sz w:val="28"/>
          <w:szCs w:val="28"/>
        </w:rPr>
        <w:t xml:space="preserve"> gleichzeitig</w:t>
      </w:r>
      <w:r>
        <w:rPr>
          <w:sz w:val="28"/>
          <w:szCs w:val="28"/>
        </w:rPr>
        <w:t xml:space="preserve"> stagnierenden </w:t>
      </w:r>
      <w:r w:rsidR="005215CC">
        <w:rPr>
          <w:sz w:val="28"/>
          <w:szCs w:val="28"/>
        </w:rPr>
        <w:t>Separationswerte</w:t>
      </w:r>
      <w:r w:rsidR="00692DDC">
        <w:rPr>
          <w:sz w:val="28"/>
          <w:szCs w:val="28"/>
        </w:rPr>
        <w:t>n</w:t>
      </w:r>
      <w:r>
        <w:rPr>
          <w:sz w:val="28"/>
          <w:szCs w:val="28"/>
        </w:rPr>
        <w:t>! Wie ist das möglich?</w:t>
      </w:r>
    </w:p>
    <w:p w:rsidR="0042211C" w:rsidRDefault="0042211C" w:rsidP="007C38F9">
      <w:pPr>
        <w:rPr>
          <w:sz w:val="28"/>
          <w:szCs w:val="28"/>
        </w:rPr>
      </w:pPr>
    </w:p>
    <w:p w:rsidR="0042211C" w:rsidRPr="00DF0F36" w:rsidRDefault="0042211C" w:rsidP="0042211C">
      <w:pPr>
        <w:rPr>
          <w:sz w:val="28"/>
          <w:szCs w:val="28"/>
        </w:rPr>
      </w:pPr>
      <w:r w:rsidRPr="00DF0F36">
        <w:rPr>
          <w:sz w:val="28"/>
          <w:szCs w:val="28"/>
        </w:rPr>
        <w:t>Der b</w:t>
      </w:r>
      <w:r>
        <w:rPr>
          <w:sz w:val="28"/>
          <w:szCs w:val="28"/>
        </w:rPr>
        <w:t>ereits beschriebene Separationss</w:t>
      </w:r>
      <w:r w:rsidRPr="00DF0F36">
        <w:rPr>
          <w:sz w:val="28"/>
          <w:szCs w:val="28"/>
        </w:rPr>
        <w:t>tillstand besagt ja, dass die Schüler</w:t>
      </w:r>
      <w:r w:rsidR="002D0AD6">
        <w:rPr>
          <w:sz w:val="28"/>
          <w:szCs w:val="28"/>
        </w:rPr>
        <w:t>*innen</w:t>
      </w:r>
      <w:r>
        <w:rPr>
          <w:sz w:val="28"/>
          <w:szCs w:val="28"/>
        </w:rPr>
        <w:t xml:space="preserve"> mit Behinderung </w:t>
      </w:r>
      <w:r w:rsidRPr="00DF0F36">
        <w:rPr>
          <w:sz w:val="28"/>
          <w:szCs w:val="28"/>
        </w:rPr>
        <w:t xml:space="preserve">wie bisher trotz der </w:t>
      </w:r>
      <w:r>
        <w:rPr>
          <w:sz w:val="28"/>
          <w:szCs w:val="28"/>
        </w:rPr>
        <w:t>Inklusion</w:t>
      </w:r>
      <w:r w:rsidRPr="00DF0F36">
        <w:rPr>
          <w:sz w:val="28"/>
          <w:szCs w:val="28"/>
        </w:rPr>
        <w:t xml:space="preserve">sreform </w:t>
      </w:r>
      <w:r>
        <w:rPr>
          <w:sz w:val="28"/>
          <w:szCs w:val="28"/>
        </w:rPr>
        <w:t>im W</w:t>
      </w:r>
      <w:r w:rsidRPr="00DF0F36">
        <w:rPr>
          <w:sz w:val="28"/>
          <w:szCs w:val="28"/>
        </w:rPr>
        <w:t>esentlichen</w:t>
      </w:r>
      <w:r w:rsidR="003C2CF3">
        <w:rPr>
          <w:sz w:val="28"/>
          <w:szCs w:val="28"/>
        </w:rPr>
        <w:t xml:space="preserve"> in den Sonderschulen verblieben sind</w:t>
      </w:r>
      <w:r w:rsidRPr="00DF0F36">
        <w:rPr>
          <w:sz w:val="28"/>
          <w:szCs w:val="28"/>
        </w:rPr>
        <w:t xml:space="preserve"> und es keinen ma</w:t>
      </w:r>
      <w:r>
        <w:rPr>
          <w:sz w:val="28"/>
          <w:szCs w:val="28"/>
        </w:rPr>
        <w:t>ssenhaften Exodus von Förderschü</w:t>
      </w:r>
      <w:r w:rsidRPr="00DF0F36">
        <w:rPr>
          <w:sz w:val="28"/>
          <w:szCs w:val="28"/>
        </w:rPr>
        <w:t>le</w:t>
      </w:r>
      <w:r>
        <w:rPr>
          <w:sz w:val="28"/>
          <w:szCs w:val="28"/>
        </w:rPr>
        <w:t>rn</w:t>
      </w:r>
      <w:r w:rsidRPr="00DF0F36">
        <w:rPr>
          <w:sz w:val="28"/>
          <w:szCs w:val="28"/>
        </w:rPr>
        <w:t xml:space="preserve"> aus den Sonderschulen gegeben hat. Woher kommen dann all die vielen, vielen Schüler</w:t>
      </w:r>
      <w:r w:rsidR="00B25122">
        <w:rPr>
          <w:sz w:val="28"/>
          <w:szCs w:val="28"/>
        </w:rPr>
        <w:t>*</w:t>
      </w:r>
      <w:r w:rsidRPr="00DF0F36">
        <w:rPr>
          <w:sz w:val="28"/>
          <w:szCs w:val="28"/>
        </w:rPr>
        <w:t>innen</w:t>
      </w:r>
      <w:r>
        <w:rPr>
          <w:sz w:val="28"/>
          <w:szCs w:val="28"/>
        </w:rPr>
        <w:t xml:space="preserve"> mit sonderpädagogischem</w:t>
      </w:r>
      <w:r w:rsidRPr="00DF0F36">
        <w:rPr>
          <w:sz w:val="28"/>
          <w:szCs w:val="28"/>
        </w:rPr>
        <w:t xml:space="preserve"> Förderbedarf, die nu</w:t>
      </w:r>
      <w:r>
        <w:rPr>
          <w:sz w:val="28"/>
          <w:szCs w:val="28"/>
        </w:rPr>
        <w:t>n zu den</w:t>
      </w:r>
      <w:r w:rsidRPr="00DF0F36">
        <w:rPr>
          <w:sz w:val="28"/>
          <w:szCs w:val="28"/>
        </w:rPr>
        <w:t xml:space="preserve"> aufgeblasenen </w:t>
      </w:r>
      <w:r w:rsidR="005215CC">
        <w:rPr>
          <w:sz w:val="28"/>
          <w:szCs w:val="28"/>
        </w:rPr>
        <w:t>Inklusionswerte</w:t>
      </w:r>
      <w:r>
        <w:rPr>
          <w:sz w:val="28"/>
          <w:szCs w:val="28"/>
        </w:rPr>
        <w:t>n führen? Ganz einfach: Die „neuen“ Förderschü</w:t>
      </w:r>
      <w:r w:rsidRPr="00DF0F36">
        <w:rPr>
          <w:sz w:val="28"/>
          <w:szCs w:val="28"/>
        </w:rPr>
        <w:t>le</w:t>
      </w:r>
      <w:r>
        <w:rPr>
          <w:sz w:val="28"/>
          <w:szCs w:val="28"/>
        </w:rPr>
        <w:t>r mit sonderpädagogischem</w:t>
      </w:r>
      <w:r w:rsidRPr="00DF0F36">
        <w:rPr>
          <w:sz w:val="28"/>
          <w:szCs w:val="28"/>
        </w:rPr>
        <w:t xml:space="preserve"> Förderbedarf sind nicht ehemalige Sonderschüler, sondern sie kommen fast ausschließlich aus den Regelschulen selbst. In allen Regelschulen gibt es schwache, schwierige und schlechte Schüler</w:t>
      </w:r>
      <w:r>
        <w:rPr>
          <w:sz w:val="28"/>
          <w:szCs w:val="28"/>
        </w:rPr>
        <w:t>,</w:t>
      </w:r>
      <w:r w:rsidRPr="00DF0F36">
        <w:rPr>
          <w:sz w:val="28"/>
          <w:szCs w:val="28"/>
        </w:rPr>
        <w:t xml:space="preserve"> die früher </w:t>
      </w:r>
      <w:r>
        <w:rPr>
          <w:sz w:val="28"/>
          <w:szCs w:val="28"/>
        </w:rPr>
        <w:t>„</w:t>
      </w:r>
      <w:r w:rsidRPr="00DF0F36">
        <w:rPr>
          <w:sz w:val="28"/>
          <w:szCs w:val="28"/>
        </w:rPr>
        <w:t>von Behinderung bedroht</w:t>
      </w:r>
      <w:r>
        <w:rPr>
          <w:sz w:val="28"/>
          <w:szCs w:val="28"/>
        </w:rPr>
        <w:t xml:space="preserve">“ </w:t>
      </w:r>
      <w:r w:rsidR="007F5ABE">
        <w:rPr>
          <w:sz w:val="28"/>
          <w:szCs w:val="28"/>
        </w:rPr>
        <w:t>(Deut</w:t>
      </w:r>
      <w:r w:rsidR="00546EF5">
        <w:rPr>
          <w:sz w:val="28"/>
          <w:szCs w:val="28"/>
        </w:rPr>
        <w:t xml:space="preserve">scher Bildungsrat) </w:t>
      </w:r>
      <w:r>
        <w:rPr>
          <w:sz w:val="28"/>
          <w:szCs w:val="28"/>
        </w:rPr>
        <w:t>und heute Problemschüler oder Risikos</w:t>
      </w:r>
      <w:r w:rsidRPr="00DF0F36">
        <w:rPr>
          <w:sz w:val="28"/>
          <w:szCs w:val="28"/>
        </w:rPr>
        <w:t xml:space="preserve">chüler </w:t>
      </w:r>
      <w:r>
        <w:rPr>
          <w:sz w:val="28"/>
          <w:szCs w:val="28"/>
        </w:rPr>
        <w:t xml:space="preserve">(PISA) </w:t>
      </w:r>
      <w:r w:rsidRPr="00DF0F36">
        <w:rPr>
          <w:sz w:val="28"/>
          <w:szCs w:val="28"/>
        </w:rPr>
        <w:t>genannt werden.</w:t>
      </w:r>
    </w:p>
    <w:p w:rsidR="0042211C" w:rsidRPr="00DF0F36" w:rsidRDefault="0042211C" w:rsidP="0042211C">
      <w:pPr>
        <w:rPr>
          <w:sz w:val="28"/>
          <w:szCs w:val="28"/>
        </w:rPr>
      </w:pPr>
    </w:p>
    <w:p w:rsidR="0042211C" w:rsidRDefault="0042211C" w:rsidP="0042211C">
      <w:pPr>
        <w:rPr>
          <w:sz w:val="28"/>
          <w:szCs w:val="28"/>
        </w:rPr>
      </w:pPr>
      <w:r w:rsidRPr="00DF0F36">
        <w:rPr>
          <w:sz w:val="28"/>
          <w:szCs w:val="28"/>
        </w:rPr>
        <w:t>Diese Problem</w:t>
      </w:r>
      <w:r>
        <w:rPr>
          <w:sz w:val="28"/>
          <w:szCs w:val="28"/>
        </w:rPr>
        <w:t>-</w:t>
      </w:r>
      <w:r w:rsidRPr="00DF0F36">
        <w:rPr>
          <w:sz w:val="28"/>
          <w:szCs w:val="28"/>
        </w:rPr>
        <w:t xml:space="preserve"> und Risikoschüler werden per </w:t>
      </w:r>
      <w:r w:rsidR="00B25122">
        <w:rPr>
          <w:sz w:val="28"/>
          <w:szCs w:val="28"/>
        </w:rPr>
        <w:t>großherziger und</w:t>
      </w:r>
      <w:r>
        <w:rPr>
          <w:sz w:val="28"/>
          <w:szCs w:val="28"/>
        </w:rPr>
        <w:t xml:space="preserve"> dienstbarer sonderpädagogischer</w:t>
      </w:r>
      <w:r w:rsidRPr="00DF0F36">
        <w:rPr>
          <w:sz w:val="28"/>
          <w:szCs w:val="28"/>
        </w:rPr>
        <w:t xml:space="preserve"> Di</w:t>
      </w:r>
      <w:r w:rsidR="00312C2F">
        <w:rPr>
          <w:sz w:val="28"/>
          <w:szCs w:val="28"/>
        </w:rPr>
        <w:t>agnostik als Schüler*innen</w:t>
      </w:r>
      <w:r w:rsidRPr="00DF0F36">
        <w:rPr>
          <w:sz w:val="28"/>
          <w:szCs w:val="28"/>
        </w:rPr>
        <w:t xml:space="preserve"> </w:t>
      </w:r>
      <w:r>
        <w:rPr>
          <w:sz w:val="28"/>
          <w:szCs w:val="28"/>
        </w:rPr>
        <w:t>„</w:t>
      </w:r>
      <w:r w:rsidRPr="00DF0F36">
        <w:rPr>
          <w:sz w:val="28"/>
          <w:szCs w:val="28"/>
        </w:rPr>
        <w:t>mit sonderpädagogischem Förderbedarf</w:t>
      </w:r>
      <w:r>
        <w:rPr>
          <w:sz w:val="28"/>
          <w:szCs w:val="28"/>
        </w:rPr>
        <w:t>“</w:t>
      </w:r>
      <w:r w:rsidRPr="00DF0F36">
        <w:rPr>
          <w:sz w:val="28"/>
          <w:szCs w:val="28"/>
        </w:rPr>
        <w:t xml:space="preserve"> identifiziert und etikettiert. Weil die n</w:t>
      </w:r>
      <w:r>
        <w:rPr>
          <w:sz w:val="28"/>
          <w:szCs w:val="28"/>
        </w:rPr>
        <w:t xml:space="preserve">euen, etikettierten </w:t>
      </w:r>
      <w:r w:rsidR="005215CC">
        <w:rPr>
          <w:sz w:val="28"/>
          <w:szCs w:val="28"/>
        </w:rPr>
        <w:t>„</w:t>
      </w:r>
      <w:r>
        <w:rPr>
          <w:sz w:val="28"/>
          <w:szCs w:val="28"/>
        </w:rPr>
        <w:t>Förderschüler</w:t>
      </w:r>
      <w:r w:rsidR="005215CC">
        <w:rPr>
          <w:sz w:val="28"/>
          <w:szCs w:val="28"/>
        </w:rPr>
        <w:t>“</w:t>
      </w:r>
      <w:r>
        <w:rPr>
          <w:sz w:val="28"/>
          <w:szCs w:val="28"/>
        </w:rPr>
        <w:t xml:space="preserve"> aber</w:t>
      </w:r>
      <w:r w:rsidRPr="00DF0F36">
        <w:rPr>
          <w:sz w:val="28"/>
          <w:szCs w:val="28"/>
        </w:rPr>
        <w:t xml:space="preserve"> in den Regelschulen verbleiben, </w:t>
      </w:r>
      <w:r>
        <w:rPr>
          <w:sz w:val="28"/>
          <w:szCs w:val="28"/>
        </w:rPr>
        <w:t xml:space="preserve">gelten sie als „inkludiert“, und in der Folge </w:t>
      </w:r>
      <w:r w:rsidRPr="00DF0F36">
        <w:rPr>
          <w:sz w:val="28"/>
          <w:szCs w:val="28"/>
        </w:rPr>
        <w:t>schnell</w:t>
      </w:r>
      <w:r>
        <w:rPr>
          <w:sz w:val="28"/>
          <w:szCs w:val="28"/>
        </w:rPr>
        <w:t>en</w:t>
      </w:r>
      <w:r w:rsidRPr="00DF0F36">
        <w:rPr>
          <w:sz w:val="28"/>
          <w:szCs w:val="28"/>
        </w:rPr>
        <w:t xml:space="preserve"> die </w:t>
      </w:r>
      <w:r w:rsidR="005215CC">
        <w:rPr>
          <w:sz w:val="28"/>
          <w:szCs w:val="28"/>
        </w:rPr>
        <w:t>Inklusionswerte</w:t>
      </w:r>
      <w:r>
        <w:rPr>
          <w:sz w:val="28"/>
          <w:szCs w:val="28"/>
        </w:rPr>
        <w:t xml:space="preserve"> in</w:t>
      </w:r>
      <w:r w:rsidRPr="00DF0F36">
        <w:rPr>
          <w:sz w:val="28"/>
          <w:szCs w:val="28"/>
        </w:rPr>
        <w:t xml:space="preserve"> schwindelerregende Höhen. Das </w:t>
      </w:r>
      <w:r w:rsidRPr="00DF0F36">
        <w:rPr>
          <w:sz w:val="28"/>
          <w:szCs w:val="28"/>
        </w:rPr>
        <w:lastRenderedPageBreak/>
        <w:t xml:space="preserve">Geheimnis der </w:t>
      </w:r>
      <w:r w:rsidR="005215CC">
        <w:rPr>
          <w:sz w:val="28"/>
          <w:szCs w:val="28"/>
        </w:rPr>
        <w:t>Inklusionswerte</w:t>
      </w:r>
      <w:r w:rsidRPr="00DF0F36">
        <w:rPr>
          <w:sz w:val="28"/>
          <w:szCs w:val="28"/>
        </w:rPr>
        <w:t xml:space="preserve"> ist in Wahrheit eine unkontrollierte und</w:t>
      </w:r>
      <w:r>
        <w:rPr>
          <w:sz w:val="28"/>
          <w:szCs w:val="28"/>
        </w:rPr>
        <w:t xml:space="preserve"> ausufernde Etikettierungsschwem</w:t>
      </w:r>
      <w:r w:rsidRPr="00DF0F36">
        <w:rPr>
          <w:sz w:val="28"/>
          <w:szCs w:val="28"/>
        </w:rPr>
        <w:t>me.</w:t>
      </w:r>
      <w:r>
        <w:rPr>
          <w:sz w:val="28"/>
          <w:szCs w:val="28"/>
        </w:rPr>
        <w:t xml:space="preserve"> Diagnostische Wilderei in allgemeinen Schulen!</w:t>
      </w:r>
    </w:p>
    <w:p w:rsidR="007C2A97" w:rsidRDefault="007C2A97" w:rsidP="0042211C">
      <w:pPr>
        <w:rPr>
          <w:sz w:val="28"/>
          <w:szCs w:val="28"/>
        </w:rPr>
      </w:pPr>
    </w:p>
    <w:p w:rsidR="007C2A97" w:rsidRDefault="007C2A97" w:rsidP="0042211C">
      <w:pPr>
        <w:rPr>
          <w:sz w:val="28"/>
          <w:szCs w:val="28"/>
        </w:rPr>
      </w:pPr>
      <w:r>
        <w:rPr>
          <w:sz w:val="28"/>
          <w:szCs w:val="28"/>
        </w:rPr>
        <w:t xml:space="preserve">Eine ähnliche Deutung der Etikettierungschwemme ist auch bei </w:t>
      </w:r>
      <w:r w:rsidR="007F5ABE">
        <w:rPr>
          <w:sz w:val="28"/>
          <w:szCs w:val="28"/>
        </w:rPr>
        <w:t>dem Inklusionskritiker</w:t>
      </w:r>
      <w:r>
        <w:rPr>
          <w:sz w:val="28"/>
          <w:szCs w:val="28"/>
        </w:rPr>
        <w:t xml:space="preserve"> Otto Speck </w:t>
      </w:r>
      <w:r w:rsidR="007F5ABE">
        <w:rPr>
          <w:sz w:val="28"/>
          <w:szCs w:val="28"/>
        </w:rPr>
        <w:t>nach</w:t>
      </w:r>
      <w:r>
        <w:rPr>
          <w:sz w:val="28"/>
          <w:szCs w:val="28"/>
        </w:rPr>
        <w:t xml:space="preserve">zulesen: </w:t>
      </w:r>
    </w:p>
    <w:p w:rsidR="007C2A97" w:rsidRDefault="007C2A97" w:rsidP="0042211C">
      <w:pPr>
        <w:rPr>
          <w:sz w:val="28"/>
          <w:szCs w:val="28"/>
        </w:rPr>
      </w:pPr>
    </w:p>
    <w:p w:rsidR="007C2A97" w:rsidRPr="007C2A97" w:rsidRDefault="007C2A97" w:rsidP="007C2A97">
      <w:pPr>
        <w:ind w:left="708"/>
        <w:rPr>
          <w:szCs w:val="24"/>
        </w:rPr>
      </w:pPr>
      <w:r w:rsidRPr="007C2A97">
        <w:rPr>
          <w:szCs w:val="24"/>
        </w:rPr>
        <w:t>„Auf jeden Fall entspricht dem Anwachsen der Inklusionsquote keine entsprechende Minderung der Förderschulquote. Diese ist im Gegenteil nahezu gleich geblieben. Das aber kann nur bedeuten, dass es ein anderer Personenkreis von Schülern ist, dem die seit Erlass der UN-BRK auffällig gewordene Inklusionsquote zu verdanken ist. Auf jeden Fall sind es Kinder, die zwar durch Lernprobleme auffallen, jedoch keinen ‚sonderpädagogischen Förderbedarf‘ aufweisen, der sie früher zu Förderschulkindern gemacht hätte. Das heißt, der Begriff des ‚sonderpädagogischen Förderbedarfs‘ ist definitorisch ausgeweitet worden, z.B. zur Beschaffung zusätzlicher schulischer Ressourcen für ‚Inklusionskinder‘</w:t>
      </w:r>
      <w:r w:rsidR="007F5ABE" w:rsidRPr="007C2A97">
        <w:rPr>
          <w:szCs w:val="24"/>
        </w:rPr>
        <w:t>“ (</w:t>
      </w:r>
      <w:r w:rsidRPr="007C2A97">
        <w:rPr>
          <w:szCs w:val="24"/>
        </w:rPr>
        <w:t>Speck 2019, 66).</w:t>
      </w:r>
    </w:p>
    <w:p w:rsidR="00F72ABE" w:rsidRDefault="00F72ABE" w:rsidP="007C38F9">
      <w:pPr>
        <w:rPr>
          <w:sz w:val="28"/>
          <w:szCs w:val="28"/>
        </w:rPr>
      </w:pPr>
    </w:p>
    <w:p w:rsidR="002D0AD6" w:rsidRDefault="0042211C">
      <w:pPr>
        <w:rPr>
          <w:sz w:val="28"/>
          <w:szCs w:val="28"/>
        </w:rPr>
      </w:pPr>
      <w:r w:rsidRPr="00DF0F36">
        <w:rPr>
          <w:sz w:val="28"/>
          <w:szCs w:val="28"/>
        </w:rPr>
        <w:t xml:space="preserve">Die real existierende </w:t>
      </w:r>
      <w:r>
        <w:rPr>
          <w:sz w:val="28"/>
          <w:szCs w:val="28"/>
        </w:rPr>
        <w:t>Inklusion</w:t>
      </w:r>
      <w:r w:rsidR="001F698D">
        <w:rPr>
          <w:sz w:val="28"/>
          <w:szCs w:val="28"/>
        </w:rPr>
        <w:t>sreform hat</w:t>
      </w:r>
      <w:r w:rsidRPr="00DF0F36">
        <w:rPr>
          <w:sz w:val="28"/>
          <w:szCs w:val="28"/>
        </w:rPr>
        <w:t xml:space="preserve"> </w:t>
      </w:r>
      <w:r>
        <w:rPr>
          <w:sz w:val="28"/>
          <w:szCs w:val="28"/>
        </w:rPr>
        <w:t xml:space="preserve">also </w:t>
      </w:r>
      <w:r w:rsidR="00B27137">
        <w:rPr>
          <w:sz w:val="28"/>
          <w:szCs w:val="28"/>
        </w:rPr>
        <w:t>nichts a</w:t>
      </w:r>
      <w:r w:rsidRPr="00DF0F36">
        <w:rPr>
          <w:sz w:val="28"/>
          <w:szCs w:val="28"/>
        </w:rPr>
        <w:t xml:space="preserve">nderes hervorgebracht als eine </w:t>
      </w:r>
      <w:r>
        <w:rPr>
          <w:sz w:val="28"/>
          <w:szCs w:val="28"/>
        </w:rPr>
        <w:t>„</w:t>
      </w:r>
      <w:r w:rsidRPr="00DF0F36">
        <w:rPr>
          <w:sz w:val="28"/>
          <w:szCs w:val="28"/>
        </w:rPr>
        <w:t>Pseudo</w:t>
      </w:r>
      <w:r>
        <w:rPr>
          <w:sz w:val="28"/>
          <w:szCs w:val="28"/>
        </w:rPr>
        <w:t>-Inklusion“</w:t>
      </w:r>
      <w:r w:rsidR="002B5B50">
        <w:rPr>
          <w:sz w:val="28"/>
          <w:szCs w:val="28"/>
        </w:rPr>
        <w:t xml:space="preserve"> (Wocken 2019</w:t>
      </w:r>
      <w:r w:rsidR="005215CC">
        <w:rPr>
          <w:sz w:val="28"/>
          <w:szCs w:val="28"/>
        </w:rPr>
        <w:t>)</w:t>
      </w:r>
      <w:r>
        <w:rPr>
          <w:sz w:val="28"/>
          <w:szCs w:val="28"/>
        </w:rPr>
        <w:t>. Die</w:t>
      </w:r>
      <w:r w:rsidRPr="00DF0F36">
        <w:rPr>
          <w:sz w:val="28"/>
          <w:szCs w:val="28"/>
        </w:rPr>
        <w:t xml:space="preserve"> </w:t>
      </w:r>
      <w:r>
        <w:rPr>
          <w:sz w:val="28"/>
          <w:szCs w:val="28"/>
        </w:rPr>
        <w:t>„Pseudo-Inklusion“</w:t>
      </w:r>
      <w:r w:rsidRPr="00DF0F36">
        <w:rPr>
          <w:sz w:val="28"/>
          <w:szCs w:val="28"/>
        </w:rPr>
        <w:t xml:space="preserve"> ist definiert </w:t>
      </w:r>
      <w:bookmarkStart w:id="0" w:name="_GoBack"/>
      <w:bookmarkEnd w:id="0"/>
      <w:r w:rsidRPr="00DF0F36">
        <w:rPr>
          <w:sz w:val="28"/>
          <w:szCs w:val="28"/>
        </w:rPr>
        <w:t>durch die Gleichzeitigkeit von Separationsst</w:t>
      </w:r>
      <w:r>
        <w:rPr>
          <w:sz w:val="28"/>
          <w:szCs w:val="28"/>
        </w:rPr>
        <w:t>illstand (im Sonderschulsystem) und Etikettierungsschwe</w:t>
      </w:r>
      <w:r w:rsidRPr="00DF0F36">
        <w:rPr>
          <w:sz w:val="28"/>
          <w:szCs w:val="28"/>
        </w:rPr>
        <w:t>mme</w:t>
      </w:r>
      <w:r>
        <w:rPr>
          <w:sz w:val="28"/>
          <w:szCs w:val="28"/>
        </w:rPr>
        <w:t xml:space="preserve"> (im Regelschulsystem)</w:t>
      </w:r>
      <w:r w:rsidRPr="00DF0F36">
        <w:rPr>
          <w:sz w:val="28"/>
          <w:szCs w:val="28"/>
        </w:rPr>
        <w:t>. Diese b</w:t>
      </w:r>
      <w:r>
        <w:rPr>
          <w:sz w:val="28"/>
          <w:szCs w:val="28"/>
        </w:rPr>
        <w:t xml:space="preserve">eiden fatalen </w:t>
      </w:r>
      <w:r w:rsidRPr="00DF0F36">
        <w:rPr>
          <w:sz w:val="28"/>
          <w:szCs w:val="28"/>
        </w:rPr>
        <w:t>Fehlentwicklungen</w:t>
      </w:r>
      <w:r w:rsidR="003C2CF3">
        <w:rPr>
          <w:sz w:val="28"/>
          <w:szCs w:val="28"/>
        </w:rPr>
        <w:t xml:space="preserve"> stellen</w:t>
      </w:r>
      <w:r>
        <w:rPr>
          <w:sz w:val="28"/>
          <w:szCs w:val="28"/>
        </w:rPr>
        <w:t xml:space="preserve"> mit guten Gründen </w:t>
      </w:r>
      <w:r w:rsidR="003C2CF3">
        <w:rPr>
          <w:sz w:val="28"/>
          <w:szCs w:val="28"/>
        </w:rPr>
        <w:t>ernsthaft in Frage</w:t>
      </w:r>
      <w:r>
        <w:rPr>
          <w:sz w:val="28"/>
          <w:szCs w:val="28"/>
        </w:rPr>
        <w:t xml:space="preserve">, ob </w:t>
      </w:r>
      <w:r w:rsidR="003C2CF3">
        <w:rPr>
          <w:sz w:val="28"/>
          <w:szCs w:val="28"/>
        </w:rPr>
        <w:t xml:space="preserve">es </w:t>
      </w:r>
      <w:r w:rsidR="005215CC">
        <w:rPr>
          <w:sz w:val="28"/>
          <w:szCs w:val="28"/>
        </w:rPr>
        <w:t xml:space="preserve">in Bayern </w:t>
      </w:r>
      <w:r w:rsidR="003C2CF3">
        <w:rPr>
          <w:sz w:val="28"/>
          <w:szCs w:val="28"/>
        </w:rPr>
        <w:t xml:space="preserve">überhaupt </w:t>
      </w:r>
      <w:r w:rsidRPr="00DF0F36">
        <w:rPr>
          <w:sz w:val="28"/>
          <w:szCs w:val="28"/>
        </w:rPr>
        <w:t xml:space="preserve">eine wirkliche </w:t>
      </w:r>
      <w:r>
        <w:rPr>
          <w:sz w:val="28"/>
          <w:szCs w:val="28"/>
        </w:rPr>
        <w:t>Inklusion</w:t>
      </w:r>
      <w:r w:rsidR="000F54A7">
        <w:rPr>
          <w:sz w:val="28"/>
          <w:szCs w:val="28"/>
        </w:rPr>
        <w:t>sentwicklung</w:t>
      </w:r>
      <w:r w:rsidRPr="00DF0F36">
        <w:rPr>
          <w:sz w:val="28"/>
          <w:szCs w:val="28"/>
        </w:rPr>
        <w:t xml:space="preserve"> </w:t>
      </w:r>
      <w:r w:rsidR="003C2CF3">
        <w:rPr>
          <w:sz w:val="28"/>
          <w:szCs w:val="28"/>
        </w:rPr>
        <w:t>gegeben</w:t>
      </w:r>
      <w:r w:rsidRPr="00DF0F36">
        <w:rPr>
          <w:sz w:val="28"/>
          <w:szCs w:val="28"/>
        </w:rPr>
        <w:t xml:space="preserve"> hat</w:t>
      </w:r>
      <w:r>
        <w:rPr>
          <w:sz w:val="28"/>
          <w:szCs w:val="28"/>
        </w:rPr>
        <w:t>. Z</w:t>
      </w:r>
      <w:r w:rsidRPr="00DF0F36">
        <w:rPr>
          <w:sz w:val="28"/>
          <w:szCs w:val="28"/>
        </w:rPr>
        <w:t xml:space="preserve">u konstatieren und zu beklagen ist vielmehr eine </w:t>
      </w:r>
      <w:r>
        <w:rPr>
          <w:sz w:val="28"/>
          <w:szCs w:val="28"/>
        </w:rPr>
        <w:t>Inklusion</w:t>
      </w:r>
      <w:r w:rsidRPr="00DF0F36">
        <w:rPr>
          <w:sz w:val="28"/>
          <w:szCs w:val="28"/>
        </w:rPr>
        <w:t xml:space="preserve">sreform ohne </w:t>
      </w:r>
      <w:r>
        <w:rPr>
          <w:sz w:val="28"/>
          <w:szCs w:val="28"/>
        </w:rPr>
        <w:t>echte Inklusion</w:t>
      </w:r>
      <w:r w:rsidR="001F698D">
        <w:rPr>
          <w:sz w:val="28"/>
          <w:szCs w:val="28"/>
        </w:rPr>
        <w:t xml:space="preserve"> der Schüler*innen mit Behinderung</w:t>
      </w:r>
      <w:r w:rsidRPr="00DF0F36">
        <w:rPr>
          <w:sz w:val="28"/>
          <w:szCs w:val="28"/>
        </w:rPr>
        <w:t xml:space="preserve">. </w:t>
      </w:r>
      <w:r>
        <w:rPr>
          <w:sz w:val="28"/>
          <w:szCs w:val="28"/>
        </w:rPr>
        <w:t>Wollen wir allen Ernstes auch dann von Inklusion sprechen, wenn die sogenannte Inklusionsreform die behinderten Schüler</w:t>
      </w:r>
      <w:r w:rsidR="001F698D">
        <w:rPr>
          <w:sz w:val="28"/>
          <w:szCs w:val="28"/>
        </w:rPr>
        <w:t>*innen</w:t>
      </w:r>
      <w:r>
        <w:rPr>
          <w:sz w:val="28"/>
          <w:szCs w:val="28"/>
        </w:rPr>
        <w:t xml:space="preserve"> in den Sonderschulen schlichtweg „vergisst“ und sie dort belässt? </w:t>
      </w:r>
      <w:r w:rsidR="0070412B">
        <w:rPr>
          <w:sz w:val="28"/>
          <w:szCs w:val="28"/>
        </w:rPr>
        <w:t xml:space="preserve">Eine </w:t>
      </w:r>
      <w:r>
        <w:rPr>
          <w:sz w:val="28"/>
          <w:szCs w:val="28"/>
        </w:rPr>
        <w:t>Inklusion</w:t>
      </w:r>
      <w:r w:rsidR="002D0AD6">
        <w:rPr>
          <w:sz w:val="28"/>
          <w:szCs w:val="28"/>
        </w:rPr>
        <w:t>, die die behinderten Schüler*innen in den Sonderschulen nicht vorrangig einbezieht, i</w:t>
      </w:r>
      <w:r w:rsidR="00971C8D">
        <w:rPr>
          <w:sz w:val="28"/>
          <w:szCs w:val="28"/>
        </w:rPr>
        <w:t>st keine Inklusion</w:t>
      </w:r>
      <w:r w:rsidR="002D0AD6">
        <w:rPr>
          <w:sz w:val="28"/>
          <w:szCs w:val="28"/>
        </w:rPr>
        <w:t>, sondern schlichtweg ein Skandal</w:t>
      </w:r>
      <w:r w:rsidR="00971C8D">
        <w:rPr>
          <w:sz w:val="28"/>
          <w:szCs w:val="28"/>
        </w:rPr>
        <w:t xml:space="preserve">! </w:t>
      </w:r>
      <w:r w:rsidR="007700F8">
        <w:rPr>
          <w:sz w:val="28"/>
          <w:szCs w:val="28"/>
        </w:rPr>
        <w:t xml:space="preserve">Das segregierende Schulsystem hat die Schüler*innen mit Behinderung um ihre Nichtaussonderung betrogen. Das System weist </w:t>
      </w:r>
      <w:r w:rsidR="005D1544">
        <w:rPr>
          <w:sz w:val="28"/>
          <w:szCs w:val="28"/>
        </w:rPr>
        <w:t xml:space="preserve">vorsorglich </w:t>
      </w:r>
      <w:r w:rsidR="007700F8">
        <w:rPr>
          <w:sz w:val="28"/>
          <w:szCs w:val="28"/>
        </w:rPr>
        <w:t>alle Schuld von sich; es beschuldigt derweil das Opfer selbst, für die Misserfolge verantwortlich zu sein: „Die Inklusion ist gescheitert!“</w:t>
      </w:r>
      <w:r w:rsidR="001C0939">
        <w:rPr>
          <w:sz w:val="28"/>
          <w:szCs w:val="28"/>
        </w:rPr>
        <w:t xml:space="preserve"> Die aufrechte Gegenrede lautet indes:</w:t>
      </w:r>
      <w:r w:rsidR="001F698D">
        <w:rPr>
          <w:sz w:val="28"/>
          <w:szCs w:val="28"/>
        </w:rPr>
        <w:t xml:space="preserve"> Das segregierende Schulsystem will und kann nicht Inklusion, und hat </w:t>
      </w:r>
      <w:r w:rsidR="007F5ABE">
        <w:rPr>
          <w:sz w:val="28"/>
          <w:szCs w:val="28"/>
        </w:rPr>
        <w:t>Inklusion scheitern</w:t>
      </w:r>
      <w:r w:rsidR="001F698D">
        <w:rPr>
          <w:sz w:val="28"/>
          <w:szCs w:val="28"/>
        </w:rPr>
        <w:t xml:space="preserve"> lassen.</w:t>
      </w:r>
    </w:p>
    <w:p w:rsidR="002D0AD6" w:rsidRDefault="002D0AD6">
      <w:pPr>
        <w:rPr>
          <w:sz w:val="28"/>
          <w:szCs w:val="28"/>
        </w:rPr>
      </w:pPr>
    </w:p>
    <w:p w:rsidR="002D0AD6" w:rsidRDefault="00971C8D" w:rsidP="002D0AD6">
      <w:pPr>
        <w:pStyle w:val="Listenabsatz"/>
        <w:ind w:left="0"/>
        <w:rPr>
          <w:sz w:val="28"/>
          <w:szCs w:val="28"/>
        </w:rPr>
      </w:pPr>
      <w:r w:rsidRPr="002D0AD6">
        <w:rPr>
          <w:sz w:val="28"/>
          <w:szCs w:val="28"/>
        </w:rPr>
        <w:t>Das Fazit der Analyse sei in fünf Punkten zusammengefasst:</w:t>
      </w:r>
    </w:p>
    <w:p w:rsidR="003C2CF3" w:rsidRPr="002D0AD6" w:rsidRDefault="009F2F31" w:rsidP="002D0AD6">
      <w:pPr>
        <w:pStyle w:val="Listenabsatz"/>
        <w:numPr>
          <w:ilvl w:val="0"/>
          <w:numId w:val="4"/>
        </w:numPr>
        <w:rPr>
          <w:sz w:val="28"/>
          <w:szCs w:val="28"/>
        </w:rPr>
      </w:pPr>
      <w:r w:rsidRPr="002D0AD6">
        <w:rPr>
          <w:sz w:val="28"/>
          <w:szCs w:val="28"/>
        </w:rPr>
        <w:t xml:space="preserve">Die </w:t>
      </w:r>
      <w:r w:rsidR="000F54A7" w:rsidRPr="002D0AD6">
        <w:rPr>
          <w:sz w:val="28"/>
          <w:szCs w:val="28"/>
        </w:rPr>
        <w:t>Separationsquote</w:t>
      </w:r>
      <w:r w:rsidRPr="002D0AD6">
        <w:rPr>
          <w:sz w:val="28"/>
          <w:szCs w:val="28"/>
        </w:rPr>
        <w:t>, d.h. der relative Anteil aller Schüler*innen mit sonderpädagogischem Förderbedarf</w:t>
      </w:r>
      <w:r w:rsidR="00D33B49">
        <w:rPr>
          <w:sz w:val="28"/>
          <w:szCs w:val="28"/>
        </w:rPr>
        <w:t xml:space="preserve"> in Förderschulen</w:t>
      </w:r>
      <w:r w:rsidR="00546EF5">
        <w:rPr>
          <w:sz w:val="28"/>
          <w:szCs w:val="28"/>
        </w:rPr>
        <w:t xml:space="preserve"> an der Gesamtheit aller gleichaltrigen Schüler*innen</w:t>
      </w:r>
      <w:r w:rsidRPr="002D0AD6">
        <w:rPr>
          <w:sz w:val="28"/>
          <w:szCs w:val="28"/>
        </w:rPr>
        <w:t>, i</w:t>
      </w:r>
      <w:r w:rsidR="004056A6">
        <w:rPr>
          <w:sz w:val="28"/>
          <w:szCs w:val="28"/>
        </w:rPr>
        <w:t>st in Bayern von 2008/09 bis 201</w:t>
      </w:r>
      <w:r w:rsidRPr="002D0AD6">
        <w:rPr>
          <w:sz w:val="28"/>
          <w:szCs w:val="28"/>
        </w:rPr>
        <w:t>8/19 von 4,5 auf 4,7 Prozent gestiegen</w:t>
      </w:r>
      <w:r w:rsidR="00ED50BF">
        <w:rPr>
          <w:sz w:val="28"/>
          <w:szCs w:val="28"/>
        </w:rPr>
        <w:t xml:space="preserve"> (Hollenbach-Biele /Klemm</w:t>
      </w:r>
      <w:r w:rsidR="004056A6">
        <w:rPr>
          <w:sz w:val="28"/>
          <w:szCs w:val="28"/>
        </w:rPr>
        <w:t xml:space="preserve"> 2020)</w:t>
      </w:r>
      <w:r w:rsidRPr="002D0AD6">
        <w:rPr>
          <w:sz w:val="28"/>
          <w:szCs w:val="28"/>
        </w:rPr>
        <w:t xml:space="preserve">. Der inklusionspolitische Kurs Bayerns geht damit deutlich in die </w:t>
      </w:r>
      <w:r w:rsidR="00312C2F" w:rsidRPr="002D0AD6">
        <w:rPr>
          <w:sz w:val="28"/>
          <w:szCs w:val="28"/>
        </w:rPr>
        <w:t>falsche Richtung: Mehr Separation</w:t>
      </w:r>
      <w:r w:rsidRPr="002D0AD6">
        <w:rPr>
          <w:sz w:val="28"/>
          <w:szCs w:val="28"/>
        </w:rPr>
        <w:t xml:space="preserve"> statt mehr Inklusion!</w:t>
      </w:r>
    </w:p>
    <w:p w:rsidR="00971C8D" w:rsidRDefault="000F54A7" w:rsidP="00FB0245">
      <w:pPr>
        <w:pStyle w:val="Listenabsatz"/>
        <w:numPr>
          <w:ilvl w:val="0"/>
          <w:numId w:val="3"/>
        </w:numPr>
        <w:rPr>
          <w:sz w:val="28"/>
          <w:szCs w:val="28"/>
        </w:rPr>
      </w:pPr>
      <w:r>
        <w:rPr>
          <w:sz w:val="28"/>
          <w:szCs w:val="28"/>
        </w:rPr>
        <w:t>Die Minderung der Separations</w:t>
      </w:r>
      <w:r w:rsidR="00546EF5">
        <w:rPr>
          <w:sz w:val="28"/>
          <w:szCs w:val="28"/>
        </w:rPr>
        <w:t xml:space="preserve">quote </w:t>
      </w:r>
      <w:r w:rsidR="00546EF5" w:rsidRPr="003C2CF3">
        <w:rPr>
          <w:sz w:val="28"/>
          <w:szCs w:val="28"/>
        </w:rPr>
        <w:t>verläuft</w:t>
      </w:r>
      <w:r w:rsidR="00546EF5">
        <w:rPr>
          <w:sz w:val="28"/>
          <w:szCs w:val="28"/>
        </w:rPr>
        <w:t xml:space="preserve"> sieben Jahre lang </w:t>
      </w:r>
      <w:r w:rsidR="00B86915">
        <w:rPr>
          <w:sz w:val="28"/>
          <w:szCs w:val="28"/>
        </w:rPr>
        <w:t xml:space="preserve">fast </w:t>
      </w:r>
      <w:r w:rsidR="009F2F31" w:rsidRPr="003C2CF3">
        <w:rPr>
          <w:sz w:val="28"/>
          <w:szCs w:val="28"/>
        </w:rPr>
        <w:t>völlig parallel zum allgemeinen Schülerrückgang und ist damit nicht auf einen Rückgang der Separation in Sonderschulen</w:t>
      </w:r>
      <w:r w:rsidR="00520EC4" w:rsidRPr="003C2CF3">
        <w:rPr>
          <w:sz w:val="28"/>
          <w:szCs w:val="28"/>
        </w:rPr>
        <w:t xml:space="preserve"> oder auf eine vermehrte Inklusion von „Sonderschülern“ in allgemeine Schulen zurückzuführen.</w:t>
      </w:r>
      <w:r w:rsidR="00546EF5">
        <w:rPr>
          <w:sz w:val="28"/>
          <w:szCs w:val="28"/>
        </w:rPr>
        <w:t xml:space="preserve"> Nach 2015/16 </w:t>
      </w:r>
      <w:r w:rsidR="00546EF5">
        <w:rPr>
          <w:sz w:val="28"/>
          <w:szCs w:val="28"/>
        </w:rPr>
        <w:lastRenderedPageBreak/>
        <w:t>fährt die bayerische Schule wieder in zunehmender Weise einen separierenden Kurs.</w:t>
      </w:r>
    </w:p>
    <w:p w:rsidR="00971C8D" w:rsidRPr="000F54A7" w:rsidRDefault="000F54A7" w:rsidP="008A666A">
      <w:pPr>
        <w:pStyle w:val="Listenabsatz"/>
        <w:numPr>
          <w:ilvl w:val="0"/>
          <w:numId w:val="3"/>
        </w:numPr>
        <w:rPr>
          <w:sz w:val="28"/>
          <w:szCs w:val="28"/>
        </w:rPr>
      </w:pPr>
      <w:r w:rsidRPr="000F54A7">
        <w:rPr>
          <w:sz w:val="28"/>
          <w:szCs w:val="28"/>
        </w:rPr>
        <w:t xml:space="preserve">Der Anstieg der </w:t>
      </w:r>
      <w:r w:rsidR="005215CC" w:rsidRPr="000F54A7">
        <w:rPr>
          <w:sz w:val="28"/>
          <w:szCs w:val="28"/>
        </w:rPr>
        <w:t>Inklusionswerte</w:t>
      </w:r>
      <w:r w:rsidR="00F50F14" w:rsidRPr="000F54A7">
        <w:rPr>
          <w:sz w:val="28"/>
          <w:szCs w:val="28"/>
        </w:rPr>
        <w:t xml:space="preserve"> verdankt sich fast ausschließlich </w:t>
      </w:r>
      <w:r w:rsidR="00520EC4" w:rsidRPr="000F54A7">
        <w:rPr>
          <w:sz w:val="28"/>
          <w:szCs w:val="28"/>
        </w:rPr>
        <w:t>einer diagnostischen Etikettierung von „schwierigen“ und „schwachen“ Problem- und Risikoschülern als Schüler*innen mit sonderpädagogischem Förderbedarf.</w:t>
      </w:r>
    </w:p>
    <w:p w:rsidR="00971C8D" w:rsidRDefault="00520EC4" w:rsidP="00B05A02">
      <w:pPr>
        <w:pStyle w:val="Listenabsatz"/>
        <w:numPr>
          <w:ilvl w:val="0"/>
          <w:numId w:val="3"/>
        </w:numPr>
        <w:rPr>
          <w:sz w:val="28"/>
          <w:szCs w:val="28"/>
        </w:rPr>
      </w:pPr>
      <w:r w:rsidRPr="00971C8D">
        <w:rPr>
          <w:sz w:val="28"/>
          <w:szCs w:val="28"/>
        </w:rPr>
        <w:t xml:space="preserve">Die ungehemmte Etikettierungsschwemme hat </w:t>
      </w:r>
      <w:r w:rsidR="00971C8D">
        <w:rPr>
          <w:sz w:val="28"/>
          <w:szCs w:val="28"/>
        </w:rPr>
        <w:t xml:space="preserve">in die allgemeinen Schulen </w:t>
      </w:r>
      <w:r w:rsidR="0041471F">
        <w:rPr>
          <w:sz w:val="28"/>
          <w:szCs w:val="28"/>
        </w:rPr>
        <w:t>eine</w:t>
      </w:r>
      <w:r w:rsidR="0041471F" w:rsidRPr="00971C8D">
        <w:rPr>
          <w:sz w:val="28"/>
          <w:szCs w:val="28"/>
        </w:rPr>
        <w:t xml:space="preserve"> sonderpädagogische Defizitorientierung</w:t>
      </w:r>
      <w:r w:rsidRPr="00971C8D">
        <w:rPr>
          <w:sz w:val="28"/>
          <w:szCs w:val="28"/>
        </w:rPr>
        <w:t xml:space="preserve"> importiert. Der sonderpädagogische Defizitblick fokussiert einseitig profitable Schwächen und Mängel von Schüler*innen, die s</w:t>
      </w:r>
      <w:r w:rsidR="0042211C" w:rsidRPr="00971C8D">
        <w:rPr>
          <w:sz w:val="28"/>
          <w:szCs w:val="28"/>
        </w:rPr>
        <w:t>ich für die Akquise von Extra-Re</w:t>
      </w:r>
      <w:r w:rsidRPr="00971C8D">
        <w:rPr>
          <w:sz w:val="28"/>
          <w:szCs w:val="28"/>
        </w:rPr>
        <w:t>ssourcen kapitalisieren lassen.</w:t>
      </w:r>
      <w:r w:rsidR="00971C8D" w:rsidRPr="00971C8D">
        <w:rPr>
          <w:sz w:val="28"/>
          <w:szCs w:val="28"/>
        </w:rPr>
        <w:t xml:space="preserve"> </w:t>
      </w:r>
    </w:p>
    <w:p w:rsidR="000B6772" w:rsidRDefault="00746E56" w:rsidP="00B05A02">
      <w:pPr>
        <w:pStyle w:val="Listenabsatz"/>
        <w:numPr>
          <w:ilvl w:val="0"/>
          <w:numId w:val="3"/>
        </w:numPr>
        <w:rPr>
          <w:sz w:val="28"/>
          <w:szCs w:val="28"/>
        </w:rPr>
      </w:pPr>
      <w:r w:rsidRPr="00971C8D">
        <w:rPr>
          <w:sz w:val="28"/>
          <w:szCs w:val="28"/>
        </w:rPr>
        <w:t>Die sonder</w:t>
      </w:r>
      <w:r w:rsidR="00520EC4" w:rsidRPr="00971C8D">
        <w:rPr>
          <w:sz w:val="28"/>
          <w:szCs w:val="28"/>
        </w:rPr>
        <w:t>pädagogische Diagnostik hat in der Inklusionsreform</w:t>
      </w:r>
      <w:r w:rsidR="00971C8D">
        <w:rPr>
          <w:sz w:val="28"/>
          <w:szCs w:val="28"/>
        </w:rPr>
        <w:t xml:space="preserve"> </w:t>
      </w:r>
      <w:r w:rsidR="00312C2F">
        <w:rPr>
          <w:sz w:val="28"/>
          <w:szCs w:val="28"/>
        </w:rPr>
        <w:t>massiv</w:t>
      </w:r>
      <w:r w:rsidR="0041471F">
        <w:rPr>
          <w:sz w:val="28"/>
          <w:szCs w:val="28"/>
        </w:rPr>
        <w:t xml:space="preserve"> </w:t>
      </w:r>
      <w:r w:rsidR="0041471F" w:rsidRPr="00971C8D">
        <w:rPr>
          <w:sz w:val="28"/>
          <w:szCs w:val="28"/>
        </w:rPr>
        <w:t>versagt</w:t>
      </w:r>
      <w:r w:rsidR="00312C2F">
        <w:rPr>
          <w:sz w:val="28"/>
          <w:szCs w:val="28"/>
        </w:rPr>
        <w:t xml:space="preserve"> und sich gründlich blamiert</w:t>
      </w:r>
      <w:r w:rsidRPr="00971C8D">
        <w:rPr>
          <w:sz w:val="28"/>
          <w:szCs w:val="28"/>
        </w:rPr>
        <w:t xml:space="preserve">. Sie hat keinen </w:t>
      </w:r>
      <w:r w:rsidR="00971C8D">
        <w:rPr>
          <w:sz w:val="28"/>
          <w:szCs w:val="28"/>
        </w:rPr>
        <w:t>strengen, operational definierten</w:t>
      </w:r>
      <w:r w:rsidRPr="00971C8D">
        <w:rPr>
          <w:sz w:val="28"/>
          <w:szCs w:val="28"/>
        </w:rPr>
        <w:t xml:space="preserve"> Begriff des sonderpädagogischen Förderbedarf</w:t>
      </w:r>
      <w:r w:rsidR="00971C8D">
        <w:rPr>
          <w:sz w:val="28"/>
          <w:szCs w:val="28"/>
        </w:rPr>
        <w:t>s</w:t>
      </w:r>
      <w:r w:rsidRPr="00971C8D">
        <w:rPr>
          <w:sz w:val="28"/>
          <w:szCs w:val="28"/>
        </w:rPr>
        <w:t xml:space="preserve"> </w:t>
      </w:r>
      <w:r w:rsidR="00971C8D">
        <w:rPr>
          <w:sz w:val="28"/>
          <w:szCs w:val="28"/>
        </w:rPr>
        <w:t xml:space="preserve">verwendet oder </w:t>
      </w:r>
      <w:r w:rsidRPr="00971C8D">
        <w:rPr>
          <w:sz w:val="28"/>
          <w:szCs w:val="28"/>
        </w:rPr>
        <w:t>entfaltet und ist nicht de</w:t>
      </w:r>
      <w:r w:rsidR="00312C2F">
        <w:rPr>
          <w:sz w:val="28"/>
          <w:szCs w:val="28"/>
        </w:rPr>
        <w:t>n wissenschaftlichen K</w:t>
      </w:r>
      <w:r w:rsidRPr="00971C8D">
        <w:rPr>
          <w:sz w:val="28"/>
          <w:szCs w:val="28"/>
        </w:rPr>
        <w:t>riterien der Objektivität und Reliabilität gerecht geworden, sondern hat mit leichtfertigen und großzügigen Diagnosen die Interessen der ressourcenbedürftigen Inklusionsschulen wie auch der existenzgefährdeten Sonderschulen bedient.</w:t>
      </w:r>
    </w:p>
    <w:p w:rsidR="00610F6D" w:rsidRDefault="00610F6D" w:rsidP="00610F6D">
      <w:pPr>
        <w:rPr>
          <w:sz w:val="28"/>
          <w:szCs w:val="28"/>
        </w:rPr>
      </w:pPr>
    </w:p>
    <w:p w:rsidR="00B875CE" w:rsidRDefault="00B875CE">
      <w:pPr>
        <w:rPr>
          <w:b/>
          <w:sz w:val="28"/>
          <w:szCs w:val="28"/>
        </w:rPr>
      </w:pPr>
    </w:p>
    <w:sectPr w:rsidR="00B875CE" w:rsidSect="008D2D7F">
      <w:footerReference w:type="default" r:id="rId10"/>
      <w:pgSz w:w="11906" w:h="16838"/>
      <w:pgMar w:top="1134" w:right="141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CF" w:rsidRDefault="008F68CF" w:rsidP="004E7883">
      <w:r>
        <w:separator/>
      </w:r>
    </w:p>
  </w:endnote>
  <w:endnote w:type="continuationSeparator" w:id="0">
    <w:p w:rsidR="008F68CF" w:rsidRDefault="008F68CF" w:rsidP="004E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574999"/>
      <w:docPartObj>
        <w:docPartGallery w:val="Page Numbers (Bottom of Page)"/>
        <w:docPartUnique/>
      </w:docPartObj>
    </w:sdtPr>
    <w:sdtEndPr/>
    <w:sdtContent>
      <w:p w:rsidR="00F968BD" w:rsidRDefault="00F968BD">
        <w:pPr>
          <w:pStyle w:val="Fuzeile"/>
          <w:jc w:val="center"/>
        </w:pPr>
      </w:p>
      <w:p w:rsidR="00F968BD" w:rsidRDefault="00F968BD">
        <w:pPr>
          <w:pStyle w:val="Fuzeile"/>
          <w:jc w:val="center"/>
        </w:pPr>
        <w:r>
          <w:fldChar w:fldCharType="begin"/>
        </w:r>
        <w:r>
          <w:instrText>PAGE   \* MERGEFORMAT</w:instrText>
        </w:r>
        <w:r>
          <w:fldChar w:fldCharType="separate"/>
        </w:r>
        <w:r w:rsidR="00B27137">
          <w:rPr>
            <w:noProof/>
          </w:rPr>
          <w:t>6</w:t>
        </w:r>
        <w:r>
          <w:fldChar w:fldCharType="end"/>
        </w:r>
      </w:p>
    </w:sdtContent>
  </w:sdt>
  <w:p w:rsidR="00F968BD" w:rsidRDefault="00F968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CF" w:rsidRDefault="008F68CF" w:rsidP="004E7883">
      <w:r>
        <w:separator/>
      </w:r>
    </w:p>
  </w:footnote>
  <w:footnote w:type="continuationSeparator" w:id="0">
    <w:p w:rsidR="008F68CF" w:rsidRDefault="008F68CF" w:rsidP="004E7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2E87"/>
    <w:multiLevelType w:val="hybridMultilevel"/>
    <w:tmpl w:val="5F862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A734BB"/>
    <w:multiLevelType w:val="hybridMultilevel"/>
    <w:tmpl w:val="8A3454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6F1B72"/>
    <w:multiLevelType w:val="hybridMultilevel"/>
    <w:tmpl w:val="14D8FC36"/>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BF30E2"/>
    <w:multiLevelType w:val="hybridMultilevel"/>
    <w:tmpl w:val="078E1BDA"/>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EB"/>
    <w:rsid w:val="00022392"/>
    <w:rsid w:val="00050AD0"/>
    <w:rsid w:val="000B6772"/>
    <w:rsid w:val="000C08A8"/>
    <w:rsid w:val="000F54A7"/>
    <w:rsid w:val="00122517"/>
    <w:rsid w:val="00162C85"/>
    <w:rsid w:val="00176EE7"/>
    <w:rsid w:val="001C0939"/>
    <w:rsid w:val="001E4A96"/>
    <w:rsid w:val="001E4D2D"/>
    <w:rsid w:val="001F698D"/>
    <w:rsid w:val="0022057D"/>
    <w:rsid w:val="00236158"/>
    <w:rsid w:val="00284219"/>
    <w:rsid w:val="002868BF"/>
    <w:rsid w:val="002B5B50"/>
    <w:rsid w:val="002C5079"/>
    <w:rsid w:val="002D0AD6"/>
    <w:rsid w:val="002E1240"/>
    <w:rsid w:val="002E7174"/>
    <w:rsid w:val="002F0A69"/>
    <w:rsid w:val="002F6100"/>
    <w:rsid w:val="00312C2F"/>
    <w:rsid w:val="00337C05"/>
    <w:rsid w:val="00383A62"/>
    <w:rsid w:val="003C2CF3"/>
    <w:rsid w:val="003D397B"/>
    <w:rsid w:val="004056A6"/>
    <w:rsid w:val="004062A7"/>
    <w:rsid w:val="00406A6B"/>
    <w:rsid w:val="00412B48"/>
    <w:rsid w:val="0041471F"/>
    <w:rsid w:val="0042211C"/>
    <w:rsid w:val="00424856"/>
    <w:rsid w:val="00446184"/>
    <w:rsid w:val="004555C8"/>
    <w:rsid w:val="00462C66"/>
    <w:rsid w:val="004907A9"/>
    <w:rsid w:val="004C58EB"/>
    <w:rsid w:val="004C77A5"/>
    <w:rsid w:val="004E7883"/>
    <w:rsid w:val="004F3EC2"/>
    <w:rsid w:val="00520EC4"/>
    <w:rsid w:val="005215CC"/>
    <w:rsid w:val="00546EF5"/>
    <w:rsid w:val="0055765F"/>
    <w:rsid w:val="005870EF"/>
    <w:rsid w:val="005C3AB5"/>
    <w:rsid w:val="005D1544"/>
    <w:rsid w:val="0060040C"/>
    <w:rsid w:val="00610F6D"/>
    <w:rsid w:val="006139A3"/>
    <w:rsid w:val="006751A5"/>
    <w:rsid w:val="0069152E"/>
    <w:rsid w:val="00692DDC"/>
    <w:rsid w:val="006B3A56"/>
    <w:rsid w:val="006E0696"/>
    <w:rsid w:val="006E223D"/>
    <w:rsid w:val="0070412B"/>
    <w:rsid w:val="00721ADA"/>
    <w:rsid w:val="00746E56"/>
    <w:rsid w:val="00760687"/>
    <w:rsid w:val="00761805"/>
    <w:rsid w:val="007700F8"/>
    <w:rsid w:val="007704C9"/>
    <w:rsid w:val="007A55EB"/>
    <w:rsid w:val="007A6E2B"/>
    <w:rsid w:val="007C2A97"/>
    <w:rsid w:val="007C38F9"/>
    <w:rsid w:val="007E7F6F"/>
    <w:rsid w:val="007F5ABE"/>
    <w:rsid w:val="008914EB"/>
    <w:rsid w:val="008963FB"/>
    <w:rsid w:val="008C7640"/>
    <w:rsid w:val="008D2D7F"/>
    <w:rsid w:val="008F68CF"/>
    <w:rsid w:val="0091238E"/>
    <w:rsid w:val="00954BBE"/>
    <w:rsid w:val="00971C8D"/>
    <w:rsid w:val="00974B5E"/>
    <w:rsid w:val="009A22A5"/>
    <w:rsid w:val="009A7FC2"/>
    <w:rsid w:val="009B3FF8"/>
    <w:rsid w:val="009D6F77"/>
    <w:rsid w:val="009E326D"/>
    <w:rsid w:val="009F2F31"/>
    <w:rsid w:val="00A17D5A"/>
    <w:rsid w:val="00A34010"/>
    <w:rsid w:val="00A57E6E"/>
    <w:rsid w:val="00A80050"/>
    <w:rsid w:val="00AC6333"/>
    <w:rsid w:val="00AF3582"/>
    <w:rsid w:val="00B23F50"/>
    <w:rsid w:val="00B25122"/>
    <w:rsid w:val="00B27137"/>
    <w:rsid w:val="00B51266"/>
    <w:rsid w:val="00B64EC1"/>
    <w:rsid w:val="00B86915"/>
    <w:rsid w:val="00B875CE"/>
    <w:rsid w:val="00BA2FD4"/>
    <w:rsid w:val="00BA780F"/>
    <w:rsid w:val="00BC5C19"/>
    <w:rsid w:val="00BE00A7"/>
    <w:rsid w:val="00BE1232"/>
    <w:rsid w:val="00C6715F"/>
    <w:rsid w:val="00CA5FD8"/>
    <w:rsid w:val="00D33B49"/>
    <w:rsid w:val="00D41AE0"/>
    <w:rsid w:val="00D5134B"/>
    <w:rsid w:val="00D81544"/>
    <w:rsid w:val="00D916E3"/>
    <w:rsid w:val="00D93D09"/>
    <w:rsid w:val="00E0516C"/>
    <w:rsid w:val="00E132E4"/>
    <w:rsid w:val="00E315D4"/>
    <w:rsid w:val="00E41A35"/>
    <w:rsid w:val="00E54E0B"/>
    <w:rsid w:val="00E72602"/>
    <w:rsid w:val="00E83850"/>
    <w:rsid w:val="00EB4048"/>
    <w:rsid w:val="00EB6AD9"/>
    <w:rsid w:val="00EC1C8D"/>
    <w:rsid w:val="00EC64D7"/>
    <w:rsid w:val="00ED50BF"/>
    <w:rsid w:val="00F02C3D"/>
    <w:rsid w:val="00F24105"/>
    <w:rsid w:val="00F41E79"/>
    <w:rsid w:val="00F42EBF"/>
    <w:rsid w:val="00F440EF"/>
    <w:rsid w:val="00F45257"/>
    <w:rsid w:val="00F50F14"/>
    <w:rsid w:val="00F63F41"/>
    <w:rsid w:val="00F72ABE"/>
    <w:rsid w:val="00F968BD"/>
    <w:rsid w:val="00FA06AF"/>
    <w:rsid w:val="00FD0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2836"/>
  <w15:chartTrackingRefBased/>
  <w15:docId w15:val="{4F56151C-C905-4729-9232-B39B587A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4D2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4D2D"/>
    <w:rPr>
      <w:rFonts w:ascii="Segoe UI" w:hAnsi="Segoe UI" w:cs="Segoe UI"/>
      <w:sz w:val="18"/>
      <w:szCs w:val="18"/>
    </w:rPr>
  </w:style>
  <w:style w:type="paragraph" w:styleId="Listenabsatz">
    <w:name w:val="List Paragraph"/>
    <w:basedOn w:val="Standard"/>
    <w:uiPriority w:val="34"/>
    <w:qFormat/>
    <w:rsid w:val="009E326D"/>
    <w:pPr>
      <w:ind w:left="720"/>
      <w:contextualSpacing/>
    </w:pPr>
  </w:style>
  <w:style w:type="paragraph" w:styleId="Kopfzeile">
    <w:name w:val="header"/>
    <w:basedOn w:val="Standard"/>
    <w:link w:val="KopfzeileZchn"/>
    <w:uiPriority w:val="99"/>
    <w:unhideWhenUsed/>
    <w:rsid w:val="004E7883"/>
    <w:pPr>
      <w:tabs>
        <w:tab w:val="center" w:pos="4536"/>
        <w:tab w:val="right" w:pos="9072"/>
      </w:tabs>
    </w:pPr>
  </w:style>
  <w:style w:type="character" w:customStyle="1" w:styleId="KopfzeileZchn">
    <w:name w:val="Kopfzeile Zchn"/>
    <w:basedOn w:val="Absatz-Standardschriftart"/>
    <w:link w:val="Kopfzeile"/>
    <w:uiPriority w:val="99"/>
    <w:rsid w:val="004E7883"/>
  </w:style>
  <w:style w:type="paragraph" w:styleId="Fuzeile">
    <w:name w:val="footer"/>
    <w:basedOn w:val="Standard"/>
    <w:link w:val="FuzeileZchn"/>
    <w:uiPriority w:val="99"/>
    <w:unhideWhenUsed/>
    <w:rsid w:val="004E7883"/>
    <w:pPr>
      <w:tabs>
        <w:tab w:val="center" w:pos="4536"/>
        <w:tab w:val="right" w:pos="9072"/>
      </w:tabs>
    </w:pPr>
  </w:style>
  <w:style w:type="character" w:customStyle="1" w:styleId="FuzeileZchn">
    <w:name w:val="Fußzeile Zchn"/>
    <w:basedOn w:val="Absatz-Standardschriftart"/>
    <w:link w:val="Fuzeile"/>
    <w:uiPriority w:val="99"/>
    <w:rsid w:val="004E7883"/>
  </w:style>
  <w:style w:type="character" w:styleId="Hyperlink">
    <w:name w:val="Hyperlink"/>
    <w:basedOn w:val="Absatz-Standardschriftart"/>
    <w:uiPriority w:val="99"/>
    <w:unhideWhenUsed/>
    <w:rsid w:val="00B87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BUCH\Buch11\Bayern11\Bayern-Statistik-Work.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084807022073059E-2"/>
          <c:y val="1.7103594080338267E-2"/>
          <c:w val="0.87187266038466504"/>
          <c:h val="0.77267100597626137"/>
        </c:manualLayout>
      </c:layout>
      <c:barChart>
        <c:barDir val="col"/>
        <c:grouping val="clustered"/>
        <c:varyColors val="0"/>
        <c:ser>
          <c:idx val="1"/>
          <c:order val="1"/>
          <c:tx>
            <c:strRef>
              <c:f>'EX und IN'!$D$21</c:f>
              <c:strCache>
                <c:ptCount val="1"/>
                <c:pt idx="0">
                  <c:v>SW</c:v>
                </c:pt>
              </c:strCache>
            </c:strRef>
          </c:tx>
          <c:spPr>
            <a:pattFill prst="pct10">
              <a:fgClr>
                <a:schemeClr val="tx1"/>
              </a:fgClr>
              <a:bgClr>
                <a:schemeClr val="bg1"/>
              </a:bgClr>
            </a:pattFill>
            <a:ln w="12700">
              <a:solidFill>
                <a:schemeClr val="tx1"/>
              </a:solidFill>
            </a:ln>
            <a:effectLst/>
          </c:spPr>
          <c:invertIfNegative val="0"/>
          <c:cat>
            <c:strRef>
              <c:f>'EX und IN'!$B$22:$B$33</c:f>
              <c:strCache>
                <c:ptCount val="12"/>
                <c:pt idx="0">
                  <c:v>08/09</c:v>
                </c:pt>
                <c:pt idx="1">
                  <c:v>09/10</c:v>
                </c:pt>
                <c:pt idx="2">
                  <c:v>10/11</c:v>
                </c:pt>
                <c:pt idx="3">
                  <c:v>11/12</c:v>
                </c:pt>
                <c:pt idx="4">
                  <c:v>12/13</c:v>
                </c:pt>
                <c:pt idx="5">
                  <c:v>13/14</c:v>
                </c:pt>
                <c:pt idx="6">
                  <c:v>14/15</c:v>
                </c:pt>
                <c:pt idx="7">
                  <c:v>15/16</c:v>
                </c:pt>
                <c:pt idx="8">
                  <c:v>16/17</c:v>
                </c:pt>
                <c:pt idx="9">
                  <c:v>17/18</c:v>
                </c:pt>
                <c:pt idx="10">
                  <c:v>18/19</c:v>
                </c:pt>
                <c:pt idx="11">
                  <c:v>19/20</c:v>
                </c:pt>
              </c:strCache>
            </c:strRef>
          </c:cat>
          <c:val>
            <c:numRef>
              <c:f>'EX und IN'!$D$22:$D$33</c:f>
              <c:numCache>
                <c:formatCode>General</c:formatCode>
                <c:ptCount val="12"/>
                <c:pt idx="0">
                  <c:v>56770</c:v>
                </c:pt>
                <c:pt idx="1">
                  <c:v>56149</c:v>
                </c:pt>
                <c:pt idx="2">
                  <c:v>54914</c:v>
                </c:pt>
                <c:pt idx="3">
                  <c:v>53495</c:v>
                </c:pt>
                <c:pt idx="4">
                  <c:v>52680</c:v>
                </c:pt>
                <c:pt idx="5">
                  <c:v>51623</c:v>
                </c:pt>
                <c:pt idx="6">
                  <c:v>51309</c:v>
                </c:pt>
                <c:pt idx="7">
                  <c:v>51019</c:v>
                </c:pt>
                <c:pt idx="8">
                  <c:v>51338</c:v>
                </c:pt>
                <c:pt idx="9">
                  <c:v>52024</c:v>
                </c:pt>
                <c:pt idx="10">
                  <c:v>52891</c:v>
                </c:pt>
                <c:pt idx="11">
                  <c:v>52716</c:v>
                </c:pt>
              </c:numCache>
            </c:numRef>
          </c:val>
          <c:extLst>
            <c:ext xmlns:c16="http://schemas.microsoft.com/office/drawing/2014/chart" uri="{C3380CC4-5D6E-409C-BE32-E72D297353CC}">
              <c16:uniqueId val="{00000000-3D66-40AC-BD6E-AAF1031DFAC1}"/>
            </c:ext>
          </c:extLst>
        </c:ser>
        <c:dLbls>
          <c:showLegendKey val="0"/>
          <c:showVal val="0"/>
          <c:showCatName val="0"/>
          <c:showSerName val="0"/>
          <c:showPercent val="0"/>
          <c:showBubbleSize val="0"/>
        </c:dLbls>
        <c:gapWidth val="150"/>
        <c:axId val="1961240272"/>
        <c:axId val="1961233200"/>
      </c:barChart>
      <c:lineChart>
        <c:grouping val="standard"/>
        <c:varyColors val="0"/>
        <c:ser>
          <c:idx val="0"/>
          <c:order val="0"/>
          <c:tx>
            <c:strRef>
              <c:f>'EX und IN'!$C$21</c:f>
              <c:strCache>
                <c:ptCount val="1"/>
                <c:pt idx="0">
                  <c:v>IW</c:v>
                </c:pt>
              </c:strCache>
            </c:strRef>
          </c:tx>
          <c:spPr>
            <a:ln w="28575" cap="rnd">
              <a:solidFill>
                <a:srgbClr val="FF0000"/>
              </a:solidFill>
              <a:round/>
            </a:ln>
            <a:effectLst/>
          </c:spPr>
          <c:marker>
            <c:symbol val="circle"/>
            <c:size val="10"/>
            <c:spPr>
              <a:solidFill>
                <a:srgbClr val="FF0000"/>
              </a:solidFill>
              <a:ln w="9525">
                <a:solidFill>
                  <a:schemeClr val="tx1"/>
                </a:solidFill>
              </a:ln>
              <a:effectLst/>
            </c:spPr>
          </c:marker>
          <c:cat>
            <c:strRef>
              <c:f>'EX und IN'!$B$22:$B$33</c:f>
              <c:strCache>
                <c:ptCount val="12"/>
                <c:pt idx="0">
                  <c:v>08/09</c:v>
                </c:pt>
                <c:pt idx="1">
                  <c:v>09/10</c:v>
                </c:pt>
                <c:pt idx="2">
                  <c:v>10/11</c:v>
                </c:pt>
                <c:pt idx="3">
                  <c:v>11/12</c:v>
                </c:pt>
                <c:pt idx="4">
                  <c:v>12/13</c:v>
                </c:pt>
                <c:pt idx="5">
                  <c:v>13/14</c:v>
                </c:pt>
                <c:pt idx="6">
                  <c:v>14/15</c:v>
                </c:pt>
                <c:pt idx="7">
                  <c:v>15/16</c:v>
                </c:pt>
                <c:pt idx="8">
                  <c:v>16/17</c:v>
                </c:pt>
                <c:pt idx="9">
                  <c:v>17/18</c:v>
                </c:pt>
                <c:pt idx="10">
                  <c:v>18/19</c:v>
                </c:pt>
                <c:pt idx="11">
                  <c:v>19/20</c:v>
                </c:pt>
              </c:strCache>
            </c:strRef>
          </c:cat>
          <c:val>
            <c:numRef>
              <c:f>'EX und IN'!$C$22:$C$33</c:f>
              <c:numCache>
                <c:formatCode>General</c:formatCode>
                <c:ptCount val="12"/>
                <c:pt idx="0">
                  <c:v>11344</c:v>
                </c:pt>
                <c:pt idx="1">
                  <c:v>10917</c:v>
                </c:pt>
                <c:pt idx="2">
                  <c:v>14534</c:v>
                </c:pt>
                <c:pt idx="3">
                  <c:v>16141</c:v>
                </c:pt>
                <c:pt idx="4">
                  <c:v>18197</c:v>
                </c:pt>
                <c:pt idx="5">
                  <c:v>19289</c:v>
                </c:pt>
                <c:pt idx="6">
                  <c:v>19840</c:v>
                </c:pt>
                <c:pt idx="7">
                  <c:v>20300</c:v>
                </c:pt>
                <c:pt idx="8">
                  <c:v>19425</c:v>
                </c:pt>
                <c:pt idx="9">
                  <c:v>20575</c:v>
                </c:pt>
                <c:pt idx="10">
                  <c:v>21724</c:v>
                </c:pt>
                <c:pt idx="11">
                  <c:v>24208</c:v>
                </c:pt>
              </c:numCache>
            </c:numRef>
          </c:val>
          <c:smooth val="0"/>
          <c:extLst>
            <c:ext xmlns:c16="http://schemas.microsoft.com/office/drawing/2014/chart" uri="{C3380CC4-5D6E-409C-BE32-E72D297353CC}">
              <c16:uniqueId val="{00000001-3D66-40AC-BD6E-AAF1031DFAC1}"/>
            </c:ext>
          </c:extLst>
        </c:ser>
        <c:dLbls>
          <c:showLegendKey val="0"/>
          <c:showVal val="0"/>
          <c:showCatName val="0"/>
          <c:showSerName val="0"/>
          <c:showPercent val="0"/>
          <c:showBubbleSize val="0"/>
        </c:dLbls>
        <c:marker val="1"/>
        <c:smooth val="0"/>
        <c:axId val="1961229456"/>
        <c:axId val="1961219888"/>
      </c:lineChart>
      <c:valAx>
        <c:axId val="1961219888"/>
        <c:scaling>
          <c:orientation val="minMax"/>
          <c:min val="100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rgbClr val="FF0000"/>
                </a:solidFill>
                <a:latin typeface="+mn-lt"/>
                <a:ea typeface="+mn-ea"/>
                <a:cs typeface="+mn-cs"/>
              </a:defRPr>
            </a:pPr>
            <a:endParaRPr lang="de-DE"/>
          </a:p>
        </c:txPr>
        <c:crossAx val="1961229456"/>
        <c:crosses val="max"/>
        <c:crossBetween val="between"/>
      </c:valAx>
      <c:catAx>
        <c:axId val="1961229456"/>
        <c:scaling>
          <c:orientation val="minMax"/>
        </c:scaling>
        <c:delete val="1"/>
        <c:axPos val="b"/>
        <c:numFmt formatCode="General" sourceLinked="1"/>
        <c:majorTickMark val="out"/>
        <c:minorTickMark val="none"/>
        <c:tickLblPos val="nextTo"/>
        <c:crossAx val="1961219888"/>
        <c:crosses val="autoZero"/>
        <c:auto val="1"/>
        <c:lblAlgn val="ctr"/>
        <c:lblOffset val="100"/>
        <c:noMultiLvlLbl val="0"/>
      </c:catAx>
      <c:valAx>
        <c:axId val="1961233200"/>
        <c:scaling>
          <c:orientation val="minMax"/>
          <c:min val="50000"/>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crossAx val="1961240272"/>
        <c:crosses val="autoZero"/>
        <c:crossBetween val="between"/>
      </c:valAx>
      <c:catAx>
        <c:axId val="1961240272"/>
        <c:scaling>
          <c:orientation val="minMax"/>
        </c:scaling>
        <c:delete val="1"/>
        <c:axPos val="b"/>
        <c:numFmt formatCode="General" sourceLinked="1"/>
        <c:majorTickMark val="out"/>
        <c:minorTickMark val="none"/>
        <c:tickLblPos val="nextTo"/>
        <c:crossAx val="1961233200"/>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de-DE"/>
          </a:p>
        </c:txPr>
      </c:dTable>
      <c:spPr>
        <a:noFill/>
        <a:ln>
          <a:noFill/>
        </a:ln>
        <a:effectLst/>
      </c:spPr>
    </c:plotArea>
    <c:legend>
      <c:legendPos val="t"/>
      <c:layout>
        <c:manualLayout>
          <c:xMode val="edge"/>
          <c:yMode val="edge"/>
          <c:x val="0.38744819775954137"/>
          <c:y val="3.1712560882210132E-2"/>
          <c:w val="0.24108309639597028"/>
          <c:h val="4.8557153343120246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0.52049</cdr:x>
      <cdr:y>0.12474</cdr:y>
    </cdr:from>
    <cdr:to>
      <cdr:x>0.66257</cdr:x>
      <cdr:y>0.20507</cdr:y>
    </cdr:to>
    <cdr:sp macro="" textlink="">
      <cdr:nvSpPr>
        <cdr:cNvPr id="2" name="Textfeld 1"/>
        <cdr:cNvSpPr txBox="1"/>
      </cdr:nvSpPr>
      <cdr:spPr>
        <a:xfrm xmlns:a="http://schemas.openxmlformats.org/drawingml/2006/main">
          <a:off x="4838700" y="749300"/>
          <a:ext cx="1320800" cy="482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de-DE" sz="1100"/>
        </a:p>
      </cdr:txBody>
    </cdr:sp>
  </cdr:relSizeAnchor>
  <cdr:relSizeAnchor xmlns:cdr="http://schemas.openxmlformats.org/drawingml/2006/chartDrawing">
    <cdr:from>
      <cdr:x>0.92133</cdr:x>
      <cdr:y>0.00385</cdr:y>
    </cdr:from>
    <cdr:to>
      <cdr:x>1</cdr:x>
      <cdr:y>0.08028</cdr:y>
    </cdr:to>
    <cdr:sp macro="" textlink="">
      <cdr:nvSpPr>
        <cdr:cNvPr id="3" name="Textfeld 2"/>
        <cdr:cNvSpPr txBox="1"/>
      </cdr:nvSpPr>
      <cdr:spPr>
        <a:xfrm xmlns:a="http://schemas.openxmlformats.org/drawingml/2006/main">
          <a:off x="6126001" y="15392"/>
          <a:ext cx="523084" cy="30537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de-DE" sz="1400" b="1">
              <a:solidFill>
                <a:srgbClr val="FF0000"/>
              </a:solidFill>
            </a:rPr>
            <a:t>IW</a:t>
          </a:r>
        </a:p>
      </cdr:txBody>
    </cdr:sp>
  </cdr:relSizeAnchor>
  <cdr:relSizeAnchor xmlns:cdr="http://schemas.openxmlformats.org/drawingml/2006/chartDrawing">
    <cdr:from>
      <cdr:x>0.02374</cdr:x>
      <cdr:y>0.00249</cdr:y>
    </cdr:from>
    <cdr:to>
      <cdr:x>0.1164</cdr:x>
      <cdr:y>0.07992</cdr:y>
    </cdr:to>
    <cdr:sp macro="" textlink="">
      <cdr:nvSpPr>
        <cdr:cNvPr id="4" name="Textfeld 3"/>
        <cdr:cNvSpPr txBox="1"/>
      </cdr:nvSpPr>
      <cdr:spPr>
        <a:xfrm xmlns:a="http://schemas.openxmlformats.org/drawingml/2006/main">
          <a:off x="157844" y="9939"/>
          <a:ext cx="616104" cy="30936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de-DE" sz="1400" b="1"/>
            <a:t>SW</a:t>
          </a:r>
        </a:p>
      </cdr:txBody>
    </cdr:sp>
  </cdr:relSizeAnchor>
</c:userShape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077CF-447B-41DF-9E25-A16A2D82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1579</Words>
  <Characters>9950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Wocken</dc:creator>
  <cp:keywords/>
  <dc:description/>
  <cp:lastModifiedBy>Hans Wocken</cp:lastModifiedBy>
  <cp:revision>7</cp:revision>
  <cp:lastPrinted>2020-07-30T14:22:00Z</cp:lastPrinted>
  <dcterms:created xsi:type="dcterms:W3CDTF">2020-09-11T08:02:00Z</dcterms:created>
  <dcterms:modified xsi:type="dcterms:W3CDTF">2020-09-20T12:50:00Z</dcterms:modified>
</cp:coreProperties>
</file>