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9D" w:rsidRPr="00764E4B" w:rsidRDefault="008A35B8">
      <w:pPr>
        <w:rPr>
          <w:b/>
          <w:sz w:val="32"/>
          <w:szCs w:val="32"/>
        </w:rPr>
      </w:pPr>
      <w:r>
        <w:rPr>
          <w:b/>
          <w:sz w:val="32"/>
          <w:szCs w:val="32"/>
        </w:rPr>
        <w:t xml:space="preserve">Teil 2: </w:t>
      </w:r>
      <w:r w:rsidR="00823723" w:rsidRPr="00764E4B">
        <w:rPr>
          <w:b/>
          <w:sz w:val="32"/>
          <w:szCs w:val="32"/>
        </w:rPr>
        <w:t>Inklusive Ungleichheiten: Regierungsbezirke</w:t>
      </w:r>
    </w:p>
    <w:p w:rsidR="00823723" w:rsidRDefault="00E924BD">
      <w:pPr>
        <w:rPr>
          <w:sz w:val="28"/>
          <w:szCs w:val="28"/>
        </w:rPr>
      </w:pPr>
      <w:r>
        <w:rPr>
          <w:sz w:val="28"/>
          <w:szCs w:val="28"/>
        </w:rPr>
        <w:t>Die Inklusionsentwicklung der bayerischen Regierungsbezirke</w:t>
      </w:r>
      <w:r w:rsidR="00F766D2">
        <w:rPr>
          <w:sz w:val="28"/>
          <w:szCs w:val="28"/>
        </w:rPr>
        <w:t xml:space="preserve"> </w:t>
      </w:r>
    </w:p>
    <w:p w:rsidR="001F1286" w:rsidRDefault="001F1286">
      <w:pPr>
        <w:rPr>
          <w:sz w:val="28"/>
          <w:szCs w:val="28"/>
        </w:rPr>
      </w:pPr>
    </w:p>
    <w:p w:rsidR="001F1286" w:rsidRDefault="001F1286">
      <w:pPr>
        <w:rPr>
          <w:sz w:val="28"/>
          <w:szCs w:val="28"/>
        </w:rPr>
      </w:pPr>
      <w:r>
        <w:rPr>
          <w:sz w:val="28"/>
          <w:szCs w:val="28"/>
        </w:rPr>
        <w:t xml:space="preserve">von </w:t>
      </w:r>
      <w:r w:rsidRPr="001F1286">
        <w:rPr>
          <w:i/>
          <w:sz w:val="28"/>
          <w:szCs w:val="28"/>
        </w:rPr>
        <w:t>Hans Wocken</w:t>
      </w:r>
    </w:p>
    <w:p w:rsidR="00386B8F" w:rsidRDefault="00386B8F">
      <w:pPr>
        <w:rPr>
          <w:sz w:val="28"/>
          <w:szCs w:val="28"/>
        </w:rPr>
      </w:pPr>
    </w:p>
    <w:p w:rsidR="00823723" w:rsidRDefault="00823723">
      <w:pPr>
        <w:rPr>
          <w:sz w:val="28"/>
          <w:szCs w:val="28"/>
        </w:rPr>
      </w:pPr>
    </w:p>
    <w:p w:rsidR="00A844F6" w:rsidRDefault="008A35B8">
      <w:pPr>
        <w:rPr>
          <w:b/>
          <w:sz w:val="28"/>
          <w:szCs w:val="28"/>
        </w:rPr>
      </w:pPr>
      <w:r>
        <w:rPr>
          <w:b/>
          <w:sz w:val="28"/>
          <w:szCs w:val="28"/>
        </w:rPr>
        <w:t xml:space="preserve">2.1 </w:t>
      </w:r>
      <w:r w:rsidR="00764E4B">
        <w:rPr>
          <w:b/>
          <w:sz w:val="28"/>
          <w:szCs w:val="28"/>
        </w:rPr>
        <w:t xml:space="preserve">Theoretische </w:t>
      </w:r>
      <w:r w:rsidR="00A844F6" w:rsidRPr="00A844F6">
        <w:rPr>
          <w:b/>
          <w:sz w:val="28"/>
          <w:szCs w:val="28"/>
        </w:rPr>
        <w:t>Rahmung</w:t>
      </w:r>
    </w:p>
    <w:p w:rsidR="00C521DD" w:rsidRDefault="00C521DD">
      <w:pPr>
        <w:rPr>
          <w:b/>
          <w:sz w:val="28"/>
          <w:szCs w:val="28"/>
        </w:rPr>
      </w:pPr>
    </w:p>
    <w:p w:rsidR="00823723" w:rsidRDefault="00823723">
      <w:pPr>
        <w:rPr>
          <w:sz w:val="28"/>
          <w:szCs w:val="28"/>
        </w:rPr>
      </w:pPr>
      <w:r>
        <w:rPr>
          <w:sz w:val="28"/>
          <w:szCs w:val="28"/>
        </w:rPr>
        <w:t>Das politische Ziel einer „Gleichwertigkeit der Lebensverhältnisse“</w:t>
      </w:r>
      <w:r w:rsidR="002167F6">
        <w:rPr>
          <w:sz w:val="28"/>
          <w:szCs w:val="28"/>
        </w:rPr>
        <w:t xml:space="preserve"> ist</w:t>
      </w:r>
      <w:r>
        <w:rPr>
          <w:sz w:val="28"/>
          <w:szCs w:val="28"/>
        </w:rPr>
        <w:t xml:space="preserve"> </w:t>
      </w:r>
      <w:r w:rsidR="002167F6">
        <w:rPr>
          <w:sz w:val="28"/>
          <w:szCs w:val="28"/>
        </w:rPr>
        <w:t xml:space="preserve">seit </w:t>
      </w:r>
      <w:r w:rsidR="000218F9">
        <w:rPr>
          <w:sz w:val="28"/>
          <w:szCs w:val="28"/>
        </w:rPr>
        <w:t>1994 (</w:t>
      </w:r>
      <w:r w:rsidR="007938A4">
        <w:rPr>
          <w:sz w:val="28"/>
          <w:szCs w:val="28"/>
        </w:rPr>
        <w:t xml:space="preserve">in </w:t>
      </w:r>
      <w:r w:rsidR="00C521DD">
        <w:rPr>
          <w:sz w:val="28"/>
          <w:szCs w:val="28"/>
        </w:rPr>
        <w:t>einer neuen</w:t>
      </w:r>
      <w:r w:rsidR="007938A4">
        <w:rPr>
          <w:sz w:val="28"/>
          <w:szCs w:val="28"/>
        </w:rPr>
        <w:t xml:space="preserve"> Fassung) </w:t>
      </w:r>
      <w:r>
        <w:rPr>
          <w:sz w:val="28"/>
          <w:szCs w:val="28"/>
        </w:rPr>
        <w:t xml:space="preserve">im Grundgesetz der BRD (GG Art. 72) verankert. Gleichwertigkeit der Lebensverhältnisse bedeutet nicht Gleichheit der Lebensverhältnisse. </w:t>
      </w:r>
      <w:r w:rsidR="002E1D25">
        <w:rPr>
          <w:sz w:val="28"/>
          <w:szCs w:val="28"/>
        </w:rPr>
        <w:t xml:space="preserve">Gleichwertigkeit der Lebensverhältnisse meint vielmehr dem Raumordnungsgesetz folgend „ausgeglichene soziale, infrastrukturelle, wirtschaftliche, ökologische und kulturelle Verhältnisse (ROG §2 Abs. 1). Bund und Länder sind verfassungsrechtlich verpflichtet, allen Bürger*innen einen gleichen, d.h. diskriminierungsfreien Zugang zu allen grundlegenden Bereichen der Daseinsvorsorge zu gewährleisten. In den Städten wie auf dem Lande, in strukturschwachen wie </w:t>
      </w:r>
      <w:r w:rsidR="002167F6">
        <w:rPr>
          <w:sz w:val="28"/>
          <w:szCs w:val="28"/>
        </w:rPr>
        <w:t>-</w:t>
      </w:r>
      <w:r w:rsidR="002E1D25">
        <w:rPr>
          <w:sz w:val="28"/>
          <w:szCs w:val="28"/>
        </w:rPr>
        <w:t>starken Regionen</w:t>
      </w:r>
      <w:r w:rsidR="0046171B">
        <w:rPr>
          <w:sz w:val="28"/>
          <w:szCs w:val="28"/>
        </w:rPr>
        <w:t xml:space="preserve"> sollen alle Bürger*innen die gleichen Chancen haben, am ökonomischen, gesellschaftlichen, sozialen und kulturellen Leben </w:t>
      </w:r>
      <w:r w:rsidR="00061165">
        <w:rPr>
          <w:sz w:val="28"/>
          <w:szCs w:val="28"/>
        </w:rPr>
        <w:t>teilzuhaben</w:t>
      </w:r>
      <w:r w:rsidR="0046171B">
        <w:rPr>
          <w:sz w:val="28"/>
          <w:szCs w:val="28"/>
        </w:rPr>
        <w:t>.</w:t>
      </w:r>
      <w:r w:rsidR="008668B4" w:rsidRPr="008668B4">
        <w:rPr>
          <w:sz w:val="28"/>
          <w:szCs w:val="28"/>
        </w:rPr>
        <w:t xml:space="preserve"> </w:t>
      </w:r>
      <w:r w:rsidR="008668B4">
        <w:rPr>
          <w:sz w:val="28"/>
          <w:szCs w:val="28"/>
        </w:rPr>
        <w:t>Der Wohnort darf nicht ein Faktor sein, der diskriminierende Ungleichheit bedingt.</w:t>
      </w:r>
    </w:p>
    <w:p w:rsidR="0046171B" w:rsidRDefault="0046171B">
      <w:pPr>
        <w:rPr>
          <w:sz w:val="28"/>
          <w:szCs w:val="28"/>
        </w:rPr>
      </w:pPr>
    </w:p>
    <w:p w:rsidR="0046171B" w:rsidRDefault="0046171B">
      <w:pPr>
        <w:rPr>
          <w:sz w:val="28"/>
          <w:szCs w:val="28"/>
        </w:rPr>
      </w:pPr>
      <w:r>
        <w:rPr>
          <w:sz w:val="28"/>
          <w:szCs w:val="28"/>
        </w:rPr>
        <w:t>Ein typisches Beispiel ungleichwertiger Lebensverhältnisse ist der ungleiche Zugang zu</w:t>
      </w:r>
      <w:r w:rsidR="00C521DD">
        <w:rPr>
          <w:sz w:val="28"/>
          <w:szCs w:val="28"/>
        </w:rPr>
        <w:t>m Internet</w:t>
      </w:r>
      <w:r>
        <w:rPr>
          <w:sz w:val="28"/>
          <w:szCs w:val="28"/>
        </w:rPr>
        <w:t>. In einer digitalisierten Welt zählen leistungsfähige Internetverbindungen zu den grundlegenden Daseinsvorsorgeleistungen, von denen sowohl die Lebensqualität der Menschen wie auch der sozioökonomische Standard von Regionen abhängt.</w:t>
      </w:r>
      <w:r w:rsidR="009A3965">
        <w:rPr>
          <w:sz w:val="28"/>
          <w:szCs w:val="28"/>
        </w:rPr>
        <w:t xml:space="preserve"> Das Internet ist ein lebensbedeutsames Versorgungs</w:t>
      </w:r>
      <w:r w:rsidR="008668B4">
        <w:rPr>
          <w:sz w:val="28"/>
          <w:szCs w:val="28"/>
        </w:rPr>
        <w:t>gut ähnlich wie Elektrizität oder</w:t>
      </w:r>
      <w:r w:rsidR="009A3965">
        <w:rPr>
          <w:sz w:val="28"/>
          <w:szCs w:val="28"/>
        </w:rPr>
        <w:t xml:space="preserve"> Wasser</w:t>
      </w:r>
      <w:r w:rsidR="008668B4">
        <w:rPr>
          <w:sz w:val="28"/>
          <w:szCs w:val="28"/>
        </w:rPr>
        <w:t>.</w:t>
      </w:r>
    </w:p>
    <w:p w:rsidR="009A3965" w:rsidRDefault="009A3965">
      <w:pPr>
        <w:rPr>
          <w:sz w:val="28"/>
          <w:szCs w:val="28"/>
        </w:rPr>
      </w:pPr>
    </w:p>
    <w:p w:rsidR="009A3965" w:rsidRDefault="00FC2AEF">
      <w:pPr>
        <w:rPr>
          <w:sz w:val="28"/>
          <w:szCs w:val="28"/>
        </w:rPr>
      </w:pPr>
      <w:r>
        <w:rPr>
          <w:sz w:val="28"/>
          <w:szCs w:val="28"/>
        </w:rPr>
        <w:t xml:space="preserve">Gleichwertige Lebensverhältnisse vermitteln einerseits allen Menschen gleiche Chancen zur Entfaltung ihrer individuellen Persönlichkeit, andererseits sind sie eine wichtige, ja unerlässliche Voraussetzung für </w:t>
      </w:r>
      <w:r w:rsidR="00764E4B">
        <w:rPr>
          <w:sz w:val="28"/>
          <w:szCs w:val="28"/>
        </w:rPr>
        <w:t xml:space="preserve">den </w:t>
      </w:r>
      <w:r>
        <w:rPr>
          <w:sz w:val="28"/>
          <w:szCs w:val="28"/>
        </w:rPr>
        <w:t>politischen und sozi</w:t>
      </w:r>
      <w:r w:rsidR="002167F6">
        <w:rPr>
          <w:sz w:val="28"/>
          <w:szCs w:val="28"/>
        </w:rPr>
        <w:t>alen Zusammenhalt. Starke sozio</w:t>
      </w:r>
      <w:r>
        <w:rPr>
          <w:sz w:val="28"/>
          <w:szCs w:val="28"/>
        </w:rPr>
        <w:t xml:space="preserve">ökonomische und sozialkulturelle Disparitäten tragen zu gesellschaftlichen Spaltungen bei; sie beeinträchtigen das Zusammengehörigkeitsgefühl und den sozialen Austausch zwischen gesellschaftlichen Gruppen. Ungleichwertige Lebensverhältnisse </w:t>
      </w:r>
      <w:r w:rsidR="002912B0">
        <w:rPr>
          <w:sz w:val="28"/>
          <w:szCs w:val="28"/>
        </w:rPr>
        <w:t>befördern Gefühle der Ungerechtigkeit, Benachteiligung und Exklusion, sie stiften Unruhe und gefährden den sozialen Frieden.</w:t>
      </w:r>
    </w:p>
    <w:p w:rsidR="002912B0" w:rsidRDefault="002912B0">
      <w:pPr>
        <w:rPr>
          <w:sz w:val="28"/>
          <w:szCs w:val="28"/>
        </w:rPr>
      </w:pPr>
    </w:p>
    <w:p w:rsidR="002912B0" w:rsidRDefault="002912B0">
      <w:pPr>
        <w:rPr>
          <w:sz w:val="28"/>
          <w:szCs w:val="28"/>
        </w:rPr>
      </w:pPr>
      <w:r>
        <w:rPr>
          <w:sz w:val="28"/>
          <w:szCs w:val="28"/>
        </w:rPr>
        <w:t>Zur grundlegenden Daseinsvorsorge gehört ohne Frage auch der gleiche Zugang zu elementaren Bildungsangebote</w:t>
      </w:r>
      <w:r w:rsidR="007938A4">
        <w:rPr>
          <w:sz w:val="28"/>
          <w:szCs w:val="28"/>
        </w:rPr>
        <w:t>n</w:t>
      </w:r>
      <w:r>
        <w:rPr>
          <w:sz w:val="28"/>
          <w:szCs w:val="28"/>
        </w:rPr>
        <w:t xml:space="preserve"> und </w:t>
      </w:r>
      <w:r w:rsidR="00061165">
        <w:rPr>
          <w:sz w:val="28"/>
          <w:szCs w:val="28"/>
        </w:rPr>
        <w:t>-</w:t>
      </w:r>
      <w:r>
        <w:rPr>
          <w:sz w:val="28"/>
          <w:szCs w:val="28"/>
        </w:rPr>
        <w:t xml:space="preserve">einrichtungen. Die politische Sorge für gleichwertige Bildungsverhältnisse ist angesichts der Kulturhoheit der Länder </w:t>
      </w:r>
      <w:r>
        <w:rPr>
          <w:sz w:val="28"/>
          <w:szCs w:val="28"/>
        </w:rPr>
        <w:lastRenderedPageBreak/>
        <w:t xml:space="preserve">wahrlich keine leichte Aufgabe. Eltern von schulpflichtigen Kindern können ein Lied davon singen, mit welchen Überraschungen ein Umzug in ein anderes Bundesland verbunden sein kann. </w:t>
      </w:r>
      <w:r w:rsidR="00595E8F">
        <w:rPr>
          <w:sz w:val="28"/>
          <w:szCs w:val="28"/>
        </w:rPr>
        <w:t xml:space="preserve">Oder: </w:t>
      </w:r>
      <w:r w:rsidR="00061165">
        <w:rPr>
          <w:sz w:val="28"/>
          <w:szCs w:val="28"/>
        </w:rPr>
        <w:t>Schüler</w:t>
      </w:r>
      <w:r w:rsidR="00595E8F">
        <w:rPr>
          <w:sz w:val="28"/>
          <w:szCs w:val="28"/>
        </w:rPr>
        <w:t>*innen, die in einem zweigliedrigen Schulsystem, das mittlerweile in vielen Bundesländern eingerichtet wurde</w:t>
      </w:r>
      <w:r w:rsidR="002167F6">
        <w:rPr>
          <w:sz w:val="28"/>
          <w:szCs w:val="28"/>
        </w:rPr>
        <w:t>,</w:t>
      </w:r>
      <w:r w:rsidR="00595E8F">
        <w:rPr>
          <w:sz w:val="28"/>
          <w:szCs w:val="28"/>
        </w:rPr>
        <w:t xml:space="preserve"> eine Gemeinschafts- oder Gesamtschule besucht haben, werden bei einem Umzug nach Bayern kaum ein ähnliches Schulangebot </w:t>
      </w:r>
      <w:r w:rsidR="00764E4B">
        <w:rPr>
          <w:sz w:val="28"/>
          <w:szCs w:val="28"/>
        </w:rPr>
        <w:t>vor</w:t>
      </w:r>
      <w:r w:rsidR="00595E8F">
        <w:rPr>
          <w:sz w:val="28"/>
          <w:szCs w:val="28"/>
        </w:rPr>
        <w:t>finden und müssen sich dort für ein dreigliedriges Schulsystem neu taxieren lassen.</w:t>
      </w:r>
    </w:p>
    <w:p w:rsidR="004232E7" w:rsidRDefault="004232E7">
      <w:pPr>
        <w:rPr>
          <w:sz w:val="28"/>
          <w:szCs w:val="28"/>
        </w:rPr>
      </w:pPr>
    </w:p>
    <w:p w:rsidR="004232E7" w:rsidRDefault="004232E7">
      <w:pPr>
        <w:rPr>
          <w:sz w:val="28"/>
          <w:szCs w:val="28"/>
        </w:rPr>
      </w:pPr>
      <w:r>
        <w:rPr>
          <w:sz w:val="28"/>
          <w:szCs w:val="28"/>
        </w:rPr>
        <w:t xml:space="preserve">Der vorliegende Beitrag fragt bezüglich schulischer Inklusion nach der Gleichwertigkeit der </w:t>
      </w:r>
      <w:r w:rsidR="00764E4B">
        <w:rPr>
          <w:sz w:val="28"/>
          <w:szCs w:val="28"/>
        </w:rPr>
        <w:t xml:space="preserve">inklusiven </w:t>
      </w:r>
      <w:r>
        <w:rPr>
          <w:sz w:val="28"/>
          <w:szCs w:val="28"/>
        </w:rPr>
        <w:t>Bildungsverhältnisse innerhalb von Bayern. Die Fragestellung kann zweifach ausdifferenziert werden:</w:t>
      </w:r>
    </w:p>
    <w:p w:rsidR="004232E7" w:rsidRDefault="004232E7">
      <w:pPr>
        <w:rPr>
          <w:sz w:val="28"/>
          <w:szCs w:val="28"/>
        </w:rPr>
      </w:pPr>
    </w:p>
    <w:p w:rsidR="004232E7" w:rsidRDefault="00F619B1" w:rsidP="004232E7">
      <w:pPr>
        <w:pStyle w:val="Listenabsatz"/>
        <w:numPr>
          <w:ilvl w:val="0"/>
          <w:numId w:val="1"/>
        </w:numPr>
        <w:rPr>
          <w:sz w:val="28"/>
          <w:szCs w:val="28"/>
        </w:rPr>
      </w:pPr>
      <w:r w:rsidRPr="00D80EA8">
        <w:rPr>
          <w:i/>
          <w:sz w:val="28"/>
          <w:szCs w:val="28"/>
        </w:rPr>
        <w:t>Gleichheit der Regierungsbezirke</w:t>
      </w:r>
      <w:r>
        <w:rPr>
          <w:sz w:val="28"/>
          <w:szCs w:val="28"/>
        </w:rPr>
        <w:br/>
        <w:t xml:space="preserve">Ist die schulische Förderung von Kindern mit sonderpädagogischem Förderbedarf in </w:t>
      </w:r>
      <w:r w:rsidR="00937645">
        <w:rPr>
          <w:sz w:val="28"/>
          <w:szCs w:val="28"/>
        </w:rPr>
        <w:t xml:space="preserve">inklusiven, </w:t>
      </w:r>
      <w:r>
        <w:rPr>
          <w:sz w:val="28"/>
          <w:szCs w:val="28"/>
        </w:rPr>
        <w:t>allgemeinen Schulen und in Förderschulen in allen Regierungsbezirken in quantitativer Hinsicht gleich ausgestaltet und entwickelt?</w:t>
      </w:r>
    </w:p>
    <w:p w:rsidR="00F619B1" w:rsidRPr="008A35B8" w:rsidRDefault="00F619B1" w:rsidP="00DC059D">
      <w:pPr>
        <w:pStyle w:val="Listenabsatz"/>
        <w:numPr>
          <w:ilvl w:val="0"/>
          <w:numId w:val="1"/>
        </w:numPr>
        <w:rPr>
          <w:sz w:val="28"/>
          <w:szCs w:val="28"/>
        </w:rPr>
      </w:pPr>
      <w:r w:rsidRPr="008A35B8">
        <w:rPr>
          <w:i/>
          <w:sz w:val="28"/>
          <w:szCs w:val="28"/>
        </w:rPr>
        <w:t>Gleichheit der Förderschwerpunkte</w:t>
      </w:r>
      <w:r w:rsidRPr="008A35B8">
        <w:rPr>
          <w:sz w:val="28"/>
          <w:szCs w:val="28"/>
        </w:rPr>
        <w:br/>
        <w:t xml:space="preserve">Ist die schulische Förderung von Kindern mit sonderpädagogischem Förderbedarf in </w:t>
      </w:r>
      <w:r w:rsidR="00937645">
        <w:rPr>
          <w:sz w:val="28"/>
          <w:szCs w:val="28"/>
        </w:rPr>
        <w:t xml:space="preserve">inklusiven, </w:t>
      </w:r>
      <w:r w:rsidRPr="008A35B8">
        <w:rPr>
          <w:sz w:val="28"/>
          <w:szCs w:val="28"/>
        </w:rPr>
        <w:t>allgemeinen Schulen und in Förderschulen in allen sonderpädagogischen Förderschwerpunkten in quantitativer Hinsicht gleich ausgestaltet und entwickelt?</w:t>
      </w:r>
    </w:p>
    <w:p w:rsidR="00F619B1" w:rsidRDefault="00F619B1" w:rsidP="00F619B1">
      <w:pPr>
        <w:rPr>
          <w:sz w:val="28"/>
          <w:szCs w:val="28"/>
        </w:rPr>
      </w:pPr>
    </w:p>
    <w:p w:rsidR="00F619B1" w:rsidRDefault="00F619B1" w:rsidP="00F619B1">
      <w:pPr>
        <w:rPr>
          <w:sz w:val="28"/>
          <w:szCs w:val="28"/>
        </w:rPr>
      </w:pPr>
      <w:r>
        <w:rPr>
          <w:sz w:val="28"/>
          <w:szCs w:val="28"/>
        </w:rPr>
        <w:t>Beide Fragestellungen werden ausschlie</w:t>
      </w:r>
      <w:r w:rsidR="007938A4">
        <w:rPr>
          <w:sz w:val="28"/>
          <w:szCs w:val="28"/>
        </w:rPr>
        <w:t xml:space="preserve">ßlich an das Bundesland Bayern </w:t>
      </w:r>
      <w:r>
        <w:rPr>
          <w:sz w:val="28"/>
          <w:szCs w:val="28"/>
        </w:rPr>
        <w:t>adressiert. Ein Vergleich der Inklusionsverhältniss</w:t>
      </w:r>
      <w:r w:rsidR="00D80EA8">
        <w:rPr>
          <w:sz w:val="28"/>
          <w:szCs w:val="28"/>
        </w:rPr>
        <w:t>e</w:t>
      </w:r>
      <w:r>
        <w:rPr>
          <w:sz w:val="28"/>
          <w:szCs w:val="28"/>
        </w:rPr>
        <w:t xml:space="preserve"> Bayerns mit ander</w:t>
      </w:r>
      <w:r w:rsidR="002167F6">
        <w:rPr>
          <w:sz w:val="28"/>
          <w:szCs w:val="28"/>
        </w:rPr>
        <w:t>e</w:t>
      </w:r>
      <w:r>
        <w:rPr>
          <w:sz w:val="28"/>
          <w:szCs w:val="28"/>
        </w:rPr>
        <w:t xml:space="preserve">n Bundesländern und mit dem Bund </w:t>
      </w:r>
      <w:r w:rsidR="002C6A95">
        <w:rPr>
          <w:sz w:val="28"/>
          <w:szCs w:val="28"/>
        </w:rPr>
        <w:t>ist nicht beabsichtigt</w:t>
      </w:r>
      <w:r w:rsidR="00D80EA8">
        <w:rPr>
          <w:sz w:val="28"/>
          <w:szCs w:val="28"/>
        </w:rPr>
        <w:t xml:space="preserve">; dieser ist in differenzierter Form bei </w:t>
      </w:r>
      <w:r w:rsidR="00937645">
        <w:rPr>
          <w:sz w:val="28"/>
          <w:szCs w:val="28"/>
        </w:rPr>
        <w:t>(Hollenbach-Biele /Klemm (2020</w:t>
      </w:r>
      <w:r w:rsidR="00D80EA8">
        <w:rPr>
          <w:sz w:val="28"/>
          <w:szCs w:val="28"/>
        </w:rPr>
        <w:t>)</w:t>
      </w:r>
      <w:r w:rsidR="00937645">
        <w:rPr>
          <w:sz w:val="28"/>
          <w:szCs w:val="28"/>
        </w:rPr>
        <w:t>)</w:t>
      </w:r>
      <w:r w:rsidR="00D80EA8">
        <w:rPr>
          <w:sz w:val="28"/>
          <w:szCs w:val="28"/>
        </w:rPr>
        <w:t xml:space="preserve"> nachzulesen</w:t>
      </w:r>
      <w:r w:rsidR="00A844F6">
        <w:rPr>
          <w:sz w:val="28"/>
          <w:szCs w:val="28"/>
        </w:rPr>
        <w:t>.</w:t>
      </w:r>
      <w:r w:rsidR="008A35B8">
        <w:rPr>
          <w:sz w:val="28"/>
          <w:szCs w:val="28"/>
        </w:rPr>
        <w:t xml:space="preserve"> Das zweite Kriterium „Gleichheit der Förderschwerpunkte“ wird erst im </w:t>
      </w:r>
      <w:r w:rsidR="00A02087">
        <w:rPr>
          <w:sz w:val="28"/>
          <w:szCs w:val="28"/>
        </w:rPr>
        <w:t>Folgenden</w:t>
      </w:r>
      <w:r w:rsidR="008A35B8">
        <w:rPr>
          <w:sz w:val="28"/>
          <w:szCs w:val="28"/>
        </w:rPr>
        <w:t xml:space="preserve"> Teil 3 behandelt.</w:t>
      </w:r>
    </w:p>
    <w:p w:rsidR="007938A4" w:rsidRDefault="007938A4" w:rsidP="00F619B1">
      <w:pPr>
        <w:rPr>
          <w:sz w:val="28"/>
          <w:szCs w:val="28"/>
        </w:rPr>
      </w:pPr>
    </w:p>
    <w:p w:rsidR="00A844F6" w:rsidRDefault="008A35B8" w:rsidP="00F619B1">
      <w:pPr>
        <w:rPr>
          <w:b/>
          <w:sz w:val="28"/>
          <w:szCs w:val="28"/>
        </w:rPr>
      </w:pPr>
      <w:r>
        <w:rPr>
          <w:b/>
          <w:sz w:val="28"/>
          <w:szCs w:val="28"/>
        </w:rPr>
        <w:t xml:space="preserve">2.2 </w:t>
      </w:r>
      <w:r w:rsidR="001F1286">
        <w:rPr>
          <w:b/>
          <w:sz w:val="28"/>
          <w:szCs w:val="28"/>
        </w:rPr>
        <w:t>Methodisches Vorgehen</w:t>
      </w:r>
    </w:p>
    <w:p w:rsidR="00184B50" w:rsidRDefault="00184B50" w:rsidP="00F619B1">
      <w:pPr>
        <w:rPr>
          <w:b/>
          <w:sz w:val="28"/>
          <w:szCs w:val="28"/>
        </w:rPr>
      </w:pPr>
    </w:p>
    <w:p w:rsidR="00454880" w:rsidRDefault="00454880" w:rsidP="00454880">
      <w:pPr>
        <w:rPr>
          <w:sz w:val="28"/>
          <w:szCs w:val="28"/>
        </w:rPr>
      </w:pPr>
      <w:r>
        <w:rPr>
          <w:sz w:val="28"/>
          <w:szCs w:val="28"/>
        </w:rPr>
        <w:t xml:space="preserve">Der Untersuchungszeitraum erstreckt sich vom Schuljahr 2008/09, dem letzten </w:t>
      </w:r>
    </w:p>
    <w:p w:rsidR="00454880" w:rsidRDefault="00454880" w:rsidP="00454880">
      <w:pPr>
        <w:rPr>
          <w:sz w:val="28"/>
          <w:szCs w:val="28"/>
        </w:rPr>
      </w:pPr>
      <w:r>
        <w:rPr>
          <w:sz w:val="28"/>
          <w:szCs w:val="28"/>
        </w:rPr>
        <w:t xml:space="preserve">Jahr vor der Ratifizierung der Behindertenrechtskonvention, bis zum Schuljahr 2019/2020. </w:t>
      </w:r>
      <w:r w:rsidRPr="00A844F6">
        <w:rPr>
          <w:sz w:val="28"/>
          <w:szCs w:val="28"/>
        </w:rPr>
        <w:t>Die</w:t>
      </w:r>
      <w:r>
        <w:rPr>
          <w:sz w:val="28"/>
          <w:szCs w:val="28"/>
        </w:rPr>
        <w:t xml:space="preserve"> erforderlichen statistischen Daten wurden vom Bayerischen</w:t>
      </w:r>
      <w:r w:rsidRPr="00A844F6">
        <w:rPr>
          <w:sz w:val="28"/>
          <w:szCs w:val="28"/>
        </w:rPr>
        <w:t xml:space="preserve"> Landesamt für Statistik</w:t>
      </w:r>
      <w:r>
        <w:rPr>
          <w:sz w:val="28"/>
          <w:szCs w:val="28"/>
        </w:rPr>
        <w:t xml:space="preserve"> erbeten und zur Verfügung gestellt. Im Anhang sind die originalen Basisdaten dokumentiert.</w:t>
      </w:r>
    </w:p>
    <w:p w:rsidR="00454880" w:rsidRDefault="00454880" w:rsidP="00A54949">
      <w:pPr>
        <w:rPr>
          <w:sz w:val="28"/>
          <w:szCs w:val="28"/>
        </w:rPr>
      </w:pPr>
    </w:p>
    <w:p w:rsidR="00454880" w:rsidRDefault="00454880" w:rsidP="00A54949">
      <w:pPr>
        <w:rPr>
          <w:sz w:val="28"/>
          <w:szCs w:val="28"/>
        </w:rPr>
      </w:pPr>
    </w:p>
    <w:p w:rsidR="00454880" w:rsidRDefault="00454880" w:rsidP="00A54949">
      <w:pPr>
        <w:rPr>
          <w:sz w:val="28"/>
          <w:szCs w:val="28"/>
        </w:rPr>
      </w:pPr>
    </w:p>
    <w:p w:rsidR="00454880" w:rsidRDefault="00454880" w:rsidP="00A54949">
      <w:pPr>
        <w:rPr>
          <w:sz w:val="28"/>
          <w:szCs w:val="28"/>
        </w:rPr>
      </w:pPr>
    </w:p>
    <w:p w:rsidR="00454880" w:rsidRDefault="00454880" w:rsidP="00A54949">
      <w:pPr>
        <w:rPr>
          <w:sz w:val="28"/>
          <w:szCs w:val="28"/>
        </w:rPr>
      </w:pPr>
    </w:p>
    <w:p w:rsidR="00454880" w:rsidRDefault="00454880" w:rsidP="00A54949">
      <w:pPr>
        <w:rPr>
          <w:sz w:val="28"/>
          <w:szCs w:val="28"/>
        </w:rPr>
      </w:pPr>
    </w:p>
    <w:p w:rsidR="002964EE" w:rsidRDefault="00454880" w:rsidP="00A54949">
      <w:pPr>
        <w:rPr>
          <w:sz w:val="28"/>
          <w:szCs w:val="28"/>
        </w:rPr>
      </w:pPr>
      <w:r w:rsidRPr="00A54949">
        <w:rPr>
          <w:b/>
          <w:noProof/>
          <w:sz w:val="28"/>
          <w:szCs w:val="28"/>
          <w:lang w:eastAsia="de-DE"/>
        </w:rPr>
        <mc:AlternateContent>
          <mc:Choice Requires="wps">
            <w:drawing>
              <wp:anchor distT="45720" distB="45720" distL="114300" distR="114300" simplePos="0" relativeHeight="251659264" behindDoc="0" locked="0" layoutInCell="1" allowOverlap="1" wp14:anchorId="65E975DB" wp14:editId="485B49EB">
                <wp:simplePos x="0" y="0"/>
                <wp:positionH relativeFrom="margin">
                  <wp:align>left</wp:align>
                </wp:positionH>
                <wp:positionV relativeFrom="paragraph">
                  <wp:posOffset>0</wp:posOffset>
                </wp:positionV>
                <wp:extent cx="5677535" cy="1752600"/>
                <wp:effectExtent l="0" t="0" r="1841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752600"/>
                        </a:xfrm>
                        <a:prstGeom prst="rect">
                          <a:avLst/>
                        </a:prstGeom>
                        <a:solidFill>
                          <a:srgbClr val="FFFFFF"/>
                        </a:solidFill>
                        <a:ln w="9525">
                          <a:solidFill>
                            <a:srgbClr val="000000"/>
                          </a:solidFill>
                          <a:miter lim="800000"/>
                          <a:headEnd/>
                          <a:tailEnd/>
                        </a:ln>
                      </wps:spPr>
                      <wps:txbx>
                        <w:txbxContent>
                          <w:p w:rsidR="00E51034" w:rsidRPr="002C6A95" w:rsidRDefault="00E51034" w:rsidP="00184B50">
                            <w:pPr>
                              <w:rPr>
                                <w:rFonts w:asciiTheme="minorHAnsi" w:hAnsiTheme="minorHAnsi" w:cstheme="minorHAnsi"/>
                                <w:szCs w:val="24"/>
                              </w:rPr>
                            </w:pPr>
                            <w:r>
                              <w:rPr>
                                <w:rFonts w:asciiTheme="minorHAnsi" w:hAnsiTheme="minorHAnsi" w:cstheme="minorHAnsi"/>
                                <w:b/>
                                <w:bCs/>
                                <w:szCs w:val="24"/>
                              </w:rPr>
                              <w:t>Separationsquote (SQ)</w:t>
                            </w:r>
                            <w:r w:rsidRPr="002C6A95">
                              <w:rPr>
                                <w:rFonts w:asciiTheme="minorHAnsi" w:hAnsiTheme="minorHAnsi" w:cstheme="minorHAnsi"/>
                                <w:b/>
                                <w:bCs/>
                                <w:szCs w:val="24"/>
                              </w:rPr>
                              <w:t xml:space="preserve">: </w:t>
                            </w:r>
                            <w:r w:rsidRPr="002C6A95">
                              <w:rPr>
                                <w:rFonts w:asciiTheme="minorHAnsi" w:hAnsiTheme="minorHAnsi" w:cstheme="minorHAnsi"/>
                                <w:szCs w:val="24"/>
                              </w:rPr>
                              <w:t>Sie geben den Anteil der Schüler und Schülerinnen mit Förderbedarf, die separiert in Förderschulen unterrichtet werden, an allen Schülerinnen und Schülern mit Vollzeitschulpflicht in allgemeinbildenden</w:t>
                            </w:r>
                          </w:p>
                          <w:p w:rsidR="00E51034" w:rsidRPr="002C6A95" w:rsidRDefault="00E51034" w:rsidP="00184B50">
                            <w:pPr>
                              <w:rPr>
                                <w:rFonts w:asciiTheme="minorHAnsi" w:hAnsiTheme="minorHAnsi" w:cstheme="minorHAnsi"/>
                                <w:szCs w:val="24"/>
                              </w:rPr>
                            </w:pPr>
                            <w:r w:rsidRPr="002C6A95">
                              <w:rPr>
                                <w:rFonts w:asciiTheme="minorHAnsi" w:hAnsiTheme="minorHAnsi" w:cstheme="minorHAnsi"/>
                                <w:szCs w:val="24"/>
                              </w:rPr>
                              <w:t>Schulen der Primar- und Sekundarstufe I an.</w:t>
                            </w:r>
                          </w:p>
                          <w:p w:rsidR="00E51034" w:rsidRPr="002C6A95" w:rsidRDefault="00E51034" w:rsidP="00184B50">
                            <w:pPr>
                              <w:rPr>
                                <w:rFonts w:asciiTheme="minorHAnsi" w:hAnsiTheme="minorHAnsi" w:cstheme="minorHAnsi"/>
                                <w:szCs w:val="24"/>
                              </w:rPr>
                            </w:pPr>
                            <w:r w:rsidRPr="002C6A95">
                              <w:rPr>
                                <w:rFonts w:asciiTheme="minorHAnsi" w:hAnsiTheme="minorHAnsi" w:cstheme="minorHAnsi"/>
                                <w:b/>
                                <w:bCs/>
                                <w:szCs w:val="24"/>
                              </w:rPr>
                              <w:t>Inklusionsquote</w:t>
                            </w:r>
                            <w:r>
                              <w:rPr>
                                <w:rFonts w:asciiTheme="minorHAnsi" w:hAnsiTheme="minorHAnsi" w:cstheme="minorHAnsi"/>
                                <w:b/>
                                <w:bCs/>
                                <w:szCs w:val="24"/>
                              </w:rPr>
                              <w:t xml:space="preserve"> (IQ)</w:t>
                            </w:r>
                            <w:r w:rsidRPr="002C6A95">
                              <w:rPr>
                                <w:rFonts w:asciiTheme="minorHAnsi" w:hAnsiTheme="minorHAnsi" w:cstheme="minorHAnsi"/>
                                <w:b/>
                                <w:bCs/>
                                <w:szCs w:val="24"/>
                              </w:rPr>
                              <w:t xml:space="preserve">: </w:t>
                            </w:r>
                            <w:r w:rsidRPr="002C6A95">
                              <w:rPr>
                                <w:rFonts w:asciiTheme="minorHAnsi" w:hAnsiTheme="minorHAnsi" w:cstheme="minorHAnsi"/>
                                <w:szCs w:val="24"/>
                              </w:rPr>
                              <w:t>Sie geben den Anteil der Schüler und Schülerinnen mit Förderbedarf, die inklusiv in allgemeinen Schulen unterrichtet werden, an allen Schülerinnen und Schülern mit Vollzeitschulpflicht in allgemeinbildenden</w:t>
                            </w:r>
                          </w:p>
                          <w:p w:rsidR="00E51034" w:rsidRPr="002C6A95" w:rsidRDefault="00E51034" w:rsidP="00184B50">
                            <w:pPr>
                              <w:rPr>
                                <w:rFonts w:asciiTheme="minorHAnsi" w:hAnsiTheme="minorHAnsi" w:cstheme="minorHAnsi"/>
                                <w:szCs w:val="24"/>
                              </w:rPr>
                            </w:pPr>
                            <w:r w:rsidRPr="002C6A95">
                              <w:rPr>
                                <w:rFonts w:asciiTheme="minorHAnsi" w:hAnsiTheme="minorHAnsi" w:cstheme="minorHAnsi"/>
                                <w:szCs w:val="24"/>
                              </w:rPr>
                              <w:t>Schulen der Primar- und Sekundarstufe I an.</w:t>
                            </w:r>
                          </w:p>
                          <w:p w:rsidR="00E51034" w:rsidRPr="002C6A95" w:rsidRDefault="00E51034" w:rsidP="00184B50">
                            <w:pPr>
                              <w:rPr>
                                <w:rFonts w:asciiTheme="minorHAnsi" w:hAnsiTheme="minorHAnsi" w:cstheme="minorHAnsi"/>
                              </w:rPr>
                            </w:pPr>
                            <w:r w:rsidRPr="002C6A95">
                              <w:rPr>
                                <w:rFonts w:asciiTheme="minorHAnsi" w:hAnsiTheme="minorHAnsi" w:cstheme="minorHAnsi"/>
                                <w:szCs w:val="24"/>
                              </w:rPr>
                              <w:t>(Hollenbach-Biele /Klemm 2020,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975DB" id="_x0000_t202" coordsize="21600,21600" o:spt="202" path="m,l,21600r21600,l21600,xe">
                <v:stroke joinstyle="miter"/>
                <v:path gradientshapeok="t" o:connecttype="rect"/>
              </v:shapetype>
              <v:shape id="Textfeld 2" o:spid="_x0000_s1026" type="#_x0000_t202" style="position:absolute;margin-left:0;margin-top:0;width:447.05pt;height:1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">
                <v:textbox>
                  <w:txbxContent>
                    <w:p w:rsidR="00E51034" w:rsidRPr="002C6A95" w:rsidRDefault="00E51034" w:rsidP="00184B50">
                      <w:pPr>
                        <w:rPr>
                          <w:rFonts w:asciiTheme="minorHAnsi" w:hAnsiTheme="minorHAnsi" w:cstheme="minorHAnsi"/>
                          <w:szCs w:val="24"/>
                        </w:rPr>
                      </w:pPr>
                      <w:r>
                        <w:rPr>
                          <w:rFonts w:asciiTheme="minorHAnsi" w:hAnsiTheme="minorHAnsi" w:cstheme="minorHAnsi"/>
                          <w:b/>
                          <w:bCs/>
                          <w:szCs w:val="24"/>
                        </w:rPr>
                        <w:t>Separationsquote (SQ)</w:t>
                      </w:r>
                      <w:r w:rsidRPr="002C6A95">
                        <w:rPr>
                          <w:rFonts w:asciiTheme="minorHAnsi" w:hAnsiTheme="minorHAnsi" w:cstheme="minorHAnsi"/>
                          <w:b/>
                          <w:bCs/>
                          <w:szCs w:val="24"/>
                        </w:rPr>
                        <w:t xml:space="preserve">: </w:t>
                      </w:r>
                      <w:r w:rsidRPr="002C6A95">
                        <w:rPr>
                          <w:rFonts w:asciiTheme="minorHAnsi" w:hAnsiTheme="minorHAnsi" w:cstheme="minorHAnsi"/>
                          <w:szCs w:val="24"/>
                        </w:rPr>
                        <w:t>Sie geben den Anteil der Schüler und Schülerinnen mit Förderbedarf, die separiert in Förderschulen unterrichtet werden, an allen Schülerinnen und Schülern mit Vollzeitschulpflicht in allgemeinbildenden</w:t>
                      </w:r>
                    </w:p>
                    <w:p w:rsidR="00E51034" w:rsidRPr="002C6A95" w:rsidRDefault="00E51034" w:rsidP="00184B50">
                      <w:pPr>
                        <w:rPr>
                          <w:rFonts w:asciiTheme="minorHAnsi" w:hAnsiTheme="minorHAnsi" w:cstheme="minorHAnsi"/>
                          <w:szCs w:val="24"/>
                        </w:rPr>
                      </w:pPr>
                      <w:r w:rsidRPr="002C6A95">
                        <w:rPr>
                          <w:rFonts w:asciiTheme="minorHAnsi" w:hAnsiTheme="minorHAnsi" w:cstheme="minorHAnsi"/>
                          <w:szCs w:val="24"/>
                        </w:rPr>
                        <w:t>Schulen der Primar- und Sekundarstufe I an.</w:t>
                      </w:r>
                    </w:p>
                    <w:p w:rsidR="00E51034" w:rsidRPr="002C6A95" w:rsidRDefault="00E51034" w:rsidP="00184B50">
                      <w:pPr>
                        <w:rPr>
                          <w:rFonts w:asciiTheme="minorHAnsi" w:hAnsiTheme="minorHAnsi" w:cstheme="minorHAnsi"/>
                          <w:szCs w:val="24"/>
                        </w:rPr>
                      </w:pPr>
                      <w:r w:rsidRPr="002C6A95">
                        <w:rPr>
                          <w:rFonts w:asciiTheme="minorHAnsi" w:hAnsiTheme="minorHAnsi" w:cstheme="minorHAnsi"/>
                          <w:b/>
                          <w:bCs/>
                          <w:szCs w:val="24"/>
                        </w:rPr>
                        <w:t>Inklusionsquote</w:t>
                      </w:r>
                      <w:r>
                        <w:rPr>
                          <w:rFonts w:asciiTheme="minorHAnsi" w:hAnsiTheme="minorHAnsi" w:cstheme="minorHAnsi"/>
                          <w:b/>
                          <w:bCs/>
                          <w:szCs w:val="24"/>
                        </w:rPr>
                        <w:t xml:space="preserve"> (IQ)</w:t>
                      </w:r>
                      <w:r w:rsidRPr="002C6A95">
                        <w:rPr>
                          <w:rFonts w:asciiTheme="minorHAnsi" w:hAnsiTheme="minorHAnsi" w:cstheme="minorHAnsi"/>
                          <w:b/>
                          <w:bCs/>
                          <w:szCs w:val="24"/>
                        </w:rPr>
                        <w:t xml:space="preserve">: </w:t>
                      </w:r>
                      <w:r w:rsidRPr="002C6A95">
                        <w:rPr>
                          <w:rFonts w:asciiTheme="minorHAnsi" w:hAnsiTheme="minorHAnsi" w:cstheme="minorHAnsi"/>
                          <w:szCs w:val="24"/>
                        </w:rPr>
                        <w:t>Sie geben den Anteil der Schüler und Schülerinnen mit Förderbedarf, die inklusiv in allgemeinen Schulen unterrichtet werden, an allen Schülerinnen und Schülern mit Vollzeitschulpflicht in allgemeinbildenden</w:t>
                      </w:r>
                    </w:p>
                    <w:p w:rsidR="00E51034" w:rsidRPr="002C6A95" w:rsidRDefault="00E51034" w:rsidP="00184B50">
                      <w:pPr>
                        <w:rPr>
                          <w:rFonts w:asciiTheme="minorHAnsi" w:hAnsiTheme="minorHAnsi" w:cstheme="minorHAnsi"/>
                          <w:szCs w:val="24"/>
                        </w:rPr>
                      </w:pPr>
                      <w:r w:rsidRPr="002C6A95">
                        <w:rPr>
                          <w:rFonts w:asciiTheme="minorHAnsi" w:hAnsiTheme="minorHAnsi" w:cstheme="minorHAnsi"/>
                          <w:szCs w:val="24"/>
                        </w:rPr>
                        <w:t>Schulen der Primar- und Sekundarstufe I an.</w:t>
                      </w:r>
                    </w:p>
                    <w:p w:rsidR="00E51034" w:rsidRPr="002C6A95" w:rsidRDefault="00E51034" w:rsidP="00184B50">
                      <w:pPr>
                        <w:rPr>
                          <w:rFonts w:asciiTheme="minorHAnsi" w:hAnsiTheme="minorHAnsi" w:cstheme="minorHAnsi"/>
                        </w:rPr>
                      </w:pPr>
                      <w:r w:rsidRPr="002C6A95">
                        <w:rPr>
                          <w:rFonts w:asciiTheme="minorHAnsi" w:hAnsiTheme="minorHAnsi" w:cstheme="minorHAnsi"/>
                          <w:szCs w:val="24"/>
                        </w:rPr>
                        <w:t>(Hollenbach-Biele /Klemm 2020, xx)</w:t>
                      </w:r>
                    </w:p>
                  </w:txbxContent>
                </v:textbox>
                <w10:wrap type="square" anchorx="margin"/>
              </v:shape>
            </w:pict>
          </mc:Fallback>
        </mc:AlternateContent>
      </w:r>
      <w:r w:rsidR="002964EE">
        <w:rPr>
          <w:sz w:val="28"/>
          <w:szCs w:val="28"/>
        </w:rPr>
        <w:t xml:space="preserve">Die Auswertung der statistischen Daten beruht auf den beiden Parametern „Separationsquote“ und „Inklusionsquote“. Die beiden Begriffe sind in der Textbox definiert. Den Definitionen entsprechend lauten die Rechnungsformeln: Separationsquote (SQ) = Schüler mit </w:t>
      </w:r>
      <w:r w:rsidR="003D0CEA">
        <w:rPr>
          <w:sz w:val="28"/>
          <w:szCs w:val="28"/>
        </w:rPr>
        <w:t xml:space="preserve">Förderbedarf </w:t>
      </w:r>
      <w:r w:rsidR="002964EE">
        <w:rPr>
          <w:sz w:val="28"/>
          <w:szCs w:val="28"/>
        </w:rPr>
        <w:t>in „Sonderschulen“/Gesamtheit der Schüler in einem Bezirk * 100. Und: Inklusionsquote (</w:t>
      </w:r>
      <w:r w:rsidR="003D0CEA">
        <w:rPr>
          <w:sz w:val="28"/>
          <w:szCs w:val="28"/>
        </w:rPr>
        <w:t>I</w:t>
      </w:r>
      <w:r w:rsidR="002964EE">
        <w:rPr>
          <w:sz w:val="28"/>
          <w:szCs w:val="28"/>
        </w:rPr>
        <w:t>Q) = Schüler mit Förderbedarf in inklusiven, allgemeinen Schulen /Gesamtheit der Schüler in einem Bezirk * 100. Eine Separationsquote von 4,1 Prozent bedeutet: 4,1 Prozent der</w:t>
      </w:r>
      <w:r>
        <w:rPr>
          <w:sz w:val="28"/>
          <w:szCs w:val="28"/>
        </w:rPr>
        <w:t xml:space="preserve"> Schüler*innen haben sonderpädagogischen Förd</w:t>
      </w:r>
      <w:r w:rsidR="003D0CEA">
        <w:rPr>
          <w:sz w:val="28"/>
          <w:szCs w:val="28"/>
        </w:rPr>
        <w:t>erbedarf und werden in separierten</w:t>
      </w:r>
      <w:r>
        <w:rPr>
          <w:sz w:val="28"/>
          <w:szCs w:val="28"/>
        </w:rPr>
        <w:t xml:space="preserve"> Förderschulen unterrichtet.</w:t>
      </w:r>
    </w:p>
    <w:p w:rsidR="00184B50" w:rsidRDefault="00184B50" w:rsidP="00184B50">
      <w:pPr>
        <w:rPr>
          <w:sz w:val="28"/>
          <w:szCs w:val="28"/>
        </w:rPr>
      </w:pPr>
    </w:p>
    <w:p w:rsidR="00453B82" w:rsidRPr="00453B82" w:rsidRDefault="008A35B8" w:rsidP="002061BB">
      <w:pPr>
        <w:rPr>
          <w:b/>
          <w:sz w:val="28"/>
          <w:szCs w:val="28"/>
        </w:rPr>
      </w:pPr>
      <w:r>
        <w:rPr>
          <w:b/>
          <w:sz w:val="28"/>
          <w:szCs w:val="28"/>
        </w:rPr>
        <w:t xml:space="preserve">2.3 </w:t>
      </w:r>
      <w:r w:rsidR="00937645">
        <w:rPr>
          <w:b/>
          <w:sz w:val="28"/>
          <w:szCs w:val="28"/>
        </w:rPr>
        <w:t>Bewertungsk</w:t>
      </w:r>
      <w:r w:rsidR="00453B82" w:rsidRPr="00453B82">
        <w:rPr>
          <w:b/>
          <w:sz w:val="28"/>
          <w:szCs w:val="28"/>
        </w:rPr>
        <w:t>riterien</w:t>
      </w:r>
    </w:p>
    <w:p w:rsidR="00453B82" w:rsidRDefault="00453B82" w:rsidP="002061BB">
      <w:pPr>
        <w:rPr>
          <w:sz w:val="28"/>
          <w:szCs w:val="28"/>
        </w:rPr>
      </w:pPr>
    </w:p>
    <w:p w:rsidR="00453B82" w:rsidRDefault="002C6A95" w:rsidP="002061BB">
      <w:pPr>
        <w:rPr>
          <w:sz w:val="28"/>
          <w:szCs w:val="28"/>
        </w:rPr>
      </w:pPr>
      <w:r>
        <w:rPr>
          <w:sz w:val="28"/>
          <w:szCs w:val="28"/>
        </w:rPr>
        <w:t>Bevor die</w:t>
      </w:r>
      <w:r w:rsidR="00453B82">
        <w:rPr>
          <w:sz w:val="28"/>
          <w:szCs w:val="28"/>
        </w:rPr>
        <w:t xml:space="preserve"> Ergebnis</w:t>
      </w:r>
      <w:r>
        <w:rPr>
          <w:sz w:val="28"/>
          <w:szCs w:val="28"/>
        </w:rPr>
        <w:t>se dargestellt und bewertet we</w:t>
      </w:r>
      <w:r w:rsidR="00453B82">
        <w:rPr>
          <w:sz w:val="28"/>
          <w:szCs w:val="28"/>
        </w:rPr>
        <w:t>rd</w:t>
      </w:r>
      <w:r>
        <w:rPr>
          <w:sz w:val="28"/>
          <w:szCs w:val="28"/>
        </w:rPr>
        <w:t>en</w:t>
      </w:r>
      <w:r w:rsidR="00453B82">
        <w:rPr>
          <w:sz w:val="28"/>
          <w:szCs w:val="28"/>
        </w:rPr>
        <w:t>, sollen die Bewertungskriterien offengelegt werden: Welche Merkmalsausprägungen sind aus inklusiver Sicht „positiv“ bzw. „negativ“ zu bewerten?</w:t>
      </w:r>
    </w:p>
    <w:p w:rsidR="00CD2326" w:rsidRDefault="00CD2326" w:rsidP="002061BB">
      <w:pPr>
        <w:rPr>
          <w:sz w:val="28"/>
          <w:szCs w:val="28"/>
        </w:rPr>
      </w:pPr>
    </w:p>
    <w:p w:rsidR="00CD2326" w:rsidRPr="00CD2326" w:rsidRDefault="00CB23CB" w:rsidP="002061BB">
      <w:pPr>
        <w:rPr>
          <w:i/>
          <w:sz w:val="28"/>
          <w:szCs w:val="28"/>
        </w:rPr>
      </w:pPr>
      <w:r>
        <w:rPr>
          <w:i/>
          <w:sz w:val="28"/>
          <w:szCs w:val="28"/>
        </w:rPr>
        <w:t>Kriterium Separationsquote</w:t>
      </w:r>
    </w:p>
    <w:p w:rsidR="00CD2326" w:rsidRDefault="00CD2326" w:rsidP="002061BB">
      <w:pPr>
        <w:rPr>
          <w:sz w:val="28"/>
          <w:szCs w:val="28"/>
        </w:rPr>
      </w:pPr>
      <w:r>
        <w:rPr>
          <w:sz w:val="28"/>
          <w:szCs w:val="28"/>
        </w:rPr>
        <w:t>Das erstrangige Kriterium für eine wünschenswerte Inklusionsentwicklung ist eine sukzessiv fortschreitende Minderung der Separation; diese ist ablesbar an einer progressiven Minimierung der Separationsquote. Das Kriterium der Separationsminderung hat unbedingt</w:t>
      </w:r>
      <w:r w:rsidR="007938A4">
        <w:rPr>
          <w:sz w:val="28"/>
          <w:szCs w:val="28"/>
        </w:rPr>
        <w:t>e</w:t>
      </w:r>
      <w:r>
        <w:rPr>
          <w:sz w:val="28"/>
          <w:szCs w:val="28"/>
        </w:rPr>
        <w:t xml:space="preserve"> Priorität</w:t>
      </w:r>
      <w:r w:rsidR="007938A4">
        <w:rPr>
          <w:sz w:val="28"/>
          <w:szCs w:val="28"/>
        </w:rPr>
        <w:t>, weil</w:t>
      </w:r>
      <w:r>
        <w:rPr>
          <w:sz w:val="28"/>
          <w:szCs w:val="28"/>
        </w:rPr>
        <w:t xml:space="preserve"> Sinn und Zweck aller Inklusion der Rückbau von Separation und Aussonderung ist.</w:t>
      </w:r>
    </w:p>
    <w:p w:rsidR="00CD2326" w:rsidRDefault="00CD2326" w:rsidP="002061BB">
      <w:pPr>
        <w:rPr>
          <w:sz w:val="28"/>
          <w:szCs w:val="28"/>
        </w:rPr>
      </w:pPr>
    </w:p>
    <w:p w:rsidR="00CD2326" w:rsidRDefault="002C6A95" w:rsidP="002061BB">
      <w:pPr>
        <w:rPr>
          <w:i/>
          <w:sz w:val="28"/>
          <w:szCs w:val="28"/>
        </w:rPr>
      </w:pPr>
      <w:r>
        <w:rPr>
          <w:i/>
          <w:sz w:val="28"/>
          <w:szCs w:val="28"/>
        </w:rPr>
        <w:t>Kriterium Inklusionsquote</w:t>
      </w:r>
    </w:p>
    <w:p w:rsidR="00184B50" w:rsidRDefault="0097280B" w:rsidP="00184B50">
      <w:pPr>
        <w:rPr>
          <w:sz w:val="28"/>
          <w:szCs w:val="28"/>
        </w:rPr>
      </w:pPr>
      <w:r w:rsidRPr="0097280B">
        <w:rPr>
          <w:sz w:val="28"/>
          <w:szCs w:val="28"/>
        </w:rPr>
        <w:t>Trotz einiger Vorbehalte</w:t>
      </w:r>
      <w:r>
        <w:rPr>
          <w:sz w:val="28"/>
          <w:szCs w:val="28"/>
        </w:rPr>
        <w:t xml:space="preserve"> werden </w:t>
      </w:r>
      <w:r w:rsidR="00CB23CB">
        <w:rPr>
          <w:sz w:val="28"/>
          <w:szCs w:val="28"/>
        </w:rPr>
        <w:t xml:space="preserve">hier </w:t>
      </w:r>
      <w:r>
        <w:rPr>
          <w:sz w:val="28"/>
          <w:szCs w:val="28"/>
        </w:rPr>
        <w:t xml:space="preserve">auch die Inklusionsquoten zur Bewertung der Inklusionsreform in den Regierungsbezirken herangezogen. Gegen das Kriterium Inklusionsquote müssen </w:t>
      </w:r>
      <w:r w:rsidR="003D0CEA">
        <w:rPr>
          <w:sz w:val="28"/>
          <w:szCs w:val="28"/>
        </w:rPr>
        <w:t xml:space="preserve">indes </w:t>
      </w:r>
      <w:r>
        <w:rPr>
          <w:sz w:val="28"/>
          <w:szCs w:val="28"/>
        </w:rPr>
        <w:t>deutliche Bedenken gelten</w:t>
      </w:r>
      <w:r w:rsidR="003D0CEA">
        <w:rPr>
          <w:sz w:val="28"/>
          <w:szCs w:val="28"/>
        </w:rPr>
        <w:t>d</w:t>
      </w:r>
      <w:r>
        <w:rPr>
          <w:sz w:val="28"/>
          <w:szCs w:val="28"/>
        </w:rPr>
        <w:t xml:space="preserve"> gemacht werden:</w:t>
      </w:r>
    </w:p>
    <w:p w:rsidR="00184B50" w:rsidRDefault="00184B50" w:rsidP="00184B50">
      <w:pPr>
        <w:rPr>
          <w:sz w:val="28"/>
          <w:szCs w:val="28"/>
        </w:rPr>
      </w:pPr>
    </w:p>
    <w:p w:rsidR="000F3FB4" w:rsidRDefault="00CB23CB" w:rsidP="00184B50">
      <w:pPr>
        <w:rPr>
          <w:sz w:val="28"/>
          <w:szCs w:val="28"/>
        </w:rPr>
      </w:pPr>
      <w:r>
        <w:rPr>
          <w:sz w:val="28"/>
          <w:szCs w:val="28"/>
        </w:rPr>
        <w:t>D</w:t>
      </w:r>
      <w:r w:rsidR="00F71CB6">
        <w:rPr>
          <w:sz w:val="28"/>
          <w:szCs w:val="28"/>
        </w:rPr>
        <w:t>ie Inklusio</w:t>
      </w:r>
      <w:r>
        <w:rPr>
          <w:sz w:val="28"/>
          <w:szCs w:val="28"/>
        </w:rPr>
        <w:t>n</w:t>
      </w:r>
      <w:r w:rsidR="00184B50">
        <w:rPr>
          <w:sz w:val="28"/>
          <w:szCs w:val="28"/>
        </w:rPr>
        <w:t>squote</w:t>
      </w:r>
      <w:r w:rsidR="00F71CB6">
        <w:rPr>
          <w:sz w:val="28"/>
          <w:szCs w:val="28"/>
        </w:rPr>
        <w:t xml:space="preserve"> </w:t>
      </w:r>
      <w:r>
        <w:rPr>
          <w:sz w:val="28"/>
          <w:szCs w:val="28"/>
        </w:rPr>
        <w:t>ist</w:t>
      </w:r>
      <w:r w:rsidR="00F71CB6">
        <w:rPr>
          <w:sz w:val="28"/>
          <w:szCs w:val="28"/>
        </w:rPr>
        <w:t xml:space="preserve"> </w:t>
      </w:r>
      <w:r w:rsidR="00184B50">
        <w:rPr>
          <w:sz w:val="28"/>
          <w:szCs w:val="28"/>
        </w:rPr>
        <w:t>k</w:t>
      </w:r>
      <w:r w:rsidR="00F71CB6">
        <w:rPr>
          <w:sz w:val="28"/>
          <w:szCs w:val="28"/>
        </w:rPr>
        <w:t>ein eindeutiges und unstrittiges Güte</w:t>
      </w:r>
      <w:r>
        <w:rPr>
          <w:sz w:val="28"/>
          <w:szCs w:val="28"/>
        </w:rPr>
        <w:t>kriterium</w:t>
      </w:r>
      <w:r w:rsidR="00F71CB6">
        <w:rPr>
          <w:sz w:val="28"/>
          <w:szCs w:val="28"/>
        </w:rPr>
        <w:t xml:space="preserve">. Im Falle der Exklusionsquote kann man eine klare Werteabstufung vertreten: „Je geringer </w:t>
      </w:r>
      <w:r w:rsidR="00F71CB6">
        <w:rPr>
          <w:sz w:val="28"/>
          <w:szCs w:val="28"/>
        </w:rPr>
        <w:lastRenderedPageBreak/>
        <w:t xml:space="preserve">die Separationsquote, desto besser!“ Eine ähnliche Wertezumessung ist im Falle der Inklusionsquote in hohem Maße problematisch.  Man kann </w:t>
      </w:r>
      <w:r w:rsidR="003D0CEA">
        <w:rPr>
          <w:sz w:val="28"/>
          <w:szCs w:val="28"/>
        </w:rPr>
        <w:t xml:space="preserve">u. Zt. hingegen schlechterdings </w:t>
      </w:r>
      <w:r w:rsidR="00F71CB6">
        <w:rPr>
          <w:sz w:val="28"/>
          <w:szCs w:val="28"/>
        </w:rPr>
        <w:t xml:space="preserve">sagen: „Je höher die Inklusionsquote, desto besser!“ Gemäß der Logik der kommunizierenden Röhren müssen höhere Inklusionsquoten zwingend mit niedrigeren Exklusionsquoten einhergehen. </w:t>
      </w:r>
      <w:r w:rsidR="003D0CEA">
        <w:rPr>
          <w:sz w:val="28"/>
          <w:szCs w:val="28"/>
        </w:rPr>
        <w:t>Je höher die Inklusionsquote, desto niedriger muss die Separationsquote sein. Hohe Inklusionsquoten, die nicht mit einer entsprechenden Minderung der Separation in Förderschulen einhergehen, sind „negativ“; sie sollten als „Pseudoinklusion“, die die Schüler*innen mit Behinderungen in den Sonderschulen belässt und sich auf die großzügige diagnostische Etikettierung von Problem- und Risikokinder</w:t>
      </w:r>
      <w:r w:rsidR="00397E7B">
        <w:rPr>
          <w:sz w:val="28"/>
          <w:szCs w:val="28"/>
        </w:rPr>
        <w:t xml:space="preserve"> beschränkt, gelten (Wocken 2019</w:t>
      </w:r>
      <w:bookmarkStart w:id="0" w:name="_GoBack"/>
      <w:bookmarkEnd w:id="0"/>
      <w:r w:rsidR="003D0CEA">
        <w:rPr>
          <w:sz w:val="28"/>
          <w:szCs w:val="28"/>
        </w:rPr>
        <w:t xml:space="preserve">). </w:t>
      </w:r>
      <w:r>
        <w:rPr>
          <w:sz w:val="28"/>
          <w:szCs w:val="28"/>
        </w:rPr>
        <w:t>Die in inklusiven, allgemeinen Schulen verbreitete „E</w:t>
      </w:r>
      <w:r w:rsidR="000F3FB4">
        <w:rPr>
          <w:sz w:val="28"/>
          <w:szCs w:val="28"/>
        </w:rPr>
        <w:t>ti</w:t>
      </w:r>
      <w:r>
        <w:rPr>
          <w:sz w:val="28"/>
          <w:szCs w:val="28"/>
        </w:rPr>
        <w:t>kettierungsschwemme“</w:t>
      </w:r>
      <w:r w:rsidRPr="00CB23CB">
        <w:rPr>
          <w:sz w:val="28"/>
          <w:szCs w:val="28"/>
        </w:rPr>
        <w:t xml:space="preserve"> </w:t>
      </w:r>
      <w:r>
        <w:rPr>
          <w:sz w:val="28"/>
          <w:szCs w:val="28"/>
        </w:rPr>
        <w:t xml:space="preserve">ist </w:t>
      </w:r>
      <w:r w:rsidR="000F3FB4">
        <w:rPr>
          <w:sz w:val="28"/>
          <w:szCs w:val="28"/>
        </w:rPr>
        <w:t>keineswegs</w:t>
      </w:r>
      <w:r>
        <w:rPr>
          <w:sz w:val="28"/>
          <w:szCs w:val="28"/>
        </w:rPr>
        <w:t xml:space="preserve"> ein sicheres Indiz einer „Integration“ von einstigen „Sonderschülern“ </w:t>
      </w:r>
      <w:r w:rsidR="003D0CEA">
        <w:rPr>
          <w:sz w:val="28"/>
          <w:szCs w:val="28"/>
        </w:rPr>
        <w:t>bzw. von „behinderten“ Schülern</w:t>
      </w:r>
      <w:r>
        <w:rPr>
          <w:sz w:val="28"/>
          <w:szCs w:val="28"/>
        </w:rPr>
        <w:t>.</w:t>
      </w:r>
      <w:r w:rsidR="000F3FB4">
        <w:rPr>
          <w:sz w:val="28"/>
          <w:szCs w:val="28"/>
        </w:rPr>
        <w:t xml:space="preserve"> Sukzessive Steigerungen der I</w:t>
      </w:r>
      <w:r w:rsidR="00184B50">
        <w:rPr>
          <w:sz w:val="28"/>
          <w:szCs w:val="28"/>
        </w:rPr>
        <w:t>nklusionsquote sind</w:t>
      </w:r>
      <w:r w:rsidR="000F3FB4">
        <w:rPr>
          <w:sz w:val="28"/>
          <w:szCs w:val="28"/>
        </w:rPr>
        <w:t xml:space="preserve"> kein Ersatz für eine </w:t>
      </w:r>
      <w:r w:rsidR="00184B50">
        <w:rPr>
          <w:sz w:val="28"/>
          <w:szCs w:val="28"/>
        </w:rPr>
        <w:t xml:space="preserve">prioritäre, </w:t>
      </w:r>
      <w:r w:rsidR="000F3FB4">
        <w:rPr>
          <w:sz w:val="28"/>
          <w:szCs w:val="28"/>
        </w:rPr>
        <w:t xml:space="preserve">gleichzeitige, progressive Minderung der Separationsquote. </w:t>
      </w:r>
      <w:r w:rsidR="000F3FB4" w:rsidRPr="0097280B">
        <w:rPr>
          <w:sz w:val="28"/>
          <w:szCs w:val="28"/>
        </w:rPr>
        <w:t>Eine exzessive Etikettierung von Schüler*innen in allgemeinen Schulen als „sonderpädagogisch förderbedürftig</w:t>
      </w:r>
      <w:r w:rsidR="00A02087" w:rsidRPr="0097280B">
        <w:rPr>
          <w:sz w:val="28"/>
          <w:szCs w:val="28"/>
        </w:rPr>
        <w:t xml:space="preserve">“ </w:t>
      </w:r>
      <w:r w:rsidR="00A02087">
        <w:rPr>
          <w:sz w:val="28"/>
          <w:szCs w:val="28"/>
        </w:rPr>
        <w:t>ohne</w:t>
      </w:r>
      <w:r w:rsidR="000F3FB4">
        <w:rPr>
          <w:sz w:val="28"/>
          <w:szCs w:val="28"/>
        </w:rPr>
        <w:t xml:space="preserve"> eine simultane, drastisch</w:t>
      </w:r>
      <w:r w:rsidR="00184B50">
        <w:rPr>
          <w:sz w:val="28"/>
          <w:szCs w:val="28"/>
        </w:rPr>
        <w:t>e</w:t>
      </w:r>
      <w:r w:rsidR="000F3FB4">
        <w:rPr>
          <w:sz w:val="28"/>
          <w:szCs w:val="28"/>
        </w:rPr>
        <w:t xml:space="preserve"> Senkung der Separationsquote </w:t>
      </w:r>
      <w:r w:rsidR="00184B50">
        <w:rPr>
          <w:sz w:val="28"/>
          <w:szCs w:val="28"/>
        </w:rPr>
        <w:t>sollte als eine Perversion der primären Zielsetzung von Inklusion, Separation und Aussonderung zu mindern, bewertet werden.</w:t>
      </w:r>
    </w:p>
    <w:p w:rsidR="006E562E" w:rsidRDefault="006E562E" w:rsidP="002061BB">
      <w:pPr>
        <w:rPr>
          <w:sz w:val="28"/>
          <w:szCs w:val="28"/>
        </w:rPr>
      </w:pPr>
    </w:p>
    <w:p w:rsidR="006E562E" w:rsidRDefault="006E562E" w:rsidP="002061BB">
      <w:pPr>
        <w:rPr>
          <w:sz w:val="28"/>
          <w:szCs w:val="28"/>
        </w:rPr>
      </w:pPr>
      <w:r>
        <w:rPr>
          <w:sz w:val="28"/>
          <w:szCs w:val="28"/>
        </w:rPr>
        <w:t>Die etablierten Bewertungskriterien sind rational begründet und diskursfäh</w:t>
      </w:r>
      <w:r w:rsidR="00346C35">
        <w:rPr>
          <w:sz w:val="28"/>
          <w:szCs w:val="28"/>
        </w:rPr>
        <w:t>ig. Eine intersubjektive Anerkennung</w:t>
      </w:r>
      <w:r>
        <w:rPr>
          <w:sz w:val="28"/>
          <w:szCs w:val="28"/>
        </w:rPr>
        <w:t xml:space="preserve"> wird nicht angenommen. Andere mögen zu </w:t>
      </w:r>
      <w:r w:rsidR="007938A4">
        <w:rPr>
          <w:sz w:val="28"/>
          <w:szCs w:val="28"/>
        </w:rPr>
        <w:t xml:space="preserve">einer </w:t>
      </w:r>
      <w:r>
        <w:rPr>
          <w:sz w:val="28"/>
          <w:szCs w:val="28"/>
        </w:rPr>
        <w:t xml:space="preserve">anderen Bewertung kommen. Alternative Bewertungskriterien sollten </w:t>
      </w:r>
      <w:r w:rsidR="00FC6F59">
        <w:rPr>
          <w:sz w:val="28"/>
          <w:szCs w:val="28"/>
        </w:rPr>
        <w:t xml:space="preserve">dabei </w:t>
      </w:r>
      <w:r>
        <w:rPr>
          <w:sz w:val="28"/>
          <w:szCs w:val="28"/>
        </w:rPr>
        <w:t>transparent dargelegt und begründet werden.</w:t>
      </w:r>
    </w:p>
    <w:p w:rsidR="005C6C80" w:rsidRDefault="005C6C80" w:rsidP="002061BB">
      <w:pPr>
        <w:rPr>
          <w:sz w:val="28"/>
          <w:szCs w:val="28"/>
        </w:rPr>
      </w:pPr>
    </w:p>
    <w:p w:rsidR="005C6C80" w:rsidRDefault="00346C35" w:rsidP="002061BB">
      <w:pPr>
        <w:rPr>
          <w:b/>
          <w:sz w:val="28"/>
          <w:szCs w:val="28"/>
        </w:rPr>
      </w:pPr>
      <w:r>
        <w:rPr>
          <w:b/>
          <w:sz w:val="28"/>
          <w:szCs w:val="28"/>
        </w:rPr>
        <w:t>2.4 Empirische Befunde</w:t>
      </w:r>
    </w:p>
    <w:p w:rsidR="005C6C80" w:rsidRDefault="005C6C80" w:rsidP="002061BB">
      <w:pPr>
        <w:rPr>
          <w:b/>
          <w:sz w:val="28"/>
          <w:szCs w:val="28"/>
        </w:rPr>
      </w:pPr>
    </w:p>
    <w:p w:rsidR="00D647EA" w:rsidRDefault="005C6C80" w:rsidP="005C6C80">
      <w:pPr>
        <w:rPr>
          <w:sz w:val="28"/>
          <w:szCs w:val="28"/>
        </w:rPr>
      </w:pPr>
      <w:r>
        <w:rPr>
          <w:sz w:val="28"/>
          <w:szCs w:val="28"/>
        </w:rPr>
        <w:t xml:space="preserve">Die </w:t>
      </w:r>
      <w:r w:rsidR="003D0CEA">
        <w:rPr>
          <w:sz w:val="28"/>
          <w:szCs w:val="28"/>
        </w:rPr>
        <w:t xml:space="preserve">Tab. und </w:t>
      </w:r>
      <w:r>
        <w:rPr>
          <w:sz w:val="28"/>
          <w:szCs w:val="28"/>
        </w:rPr>
        <w:t>Abb. 1 stell</w:t>
      </w:r>
      <w:r w:rsidR="003D0CEA">
        <w:rPr>
          <w:sz w:val="28"/>
          <w:szCs w:val="28"/>
        </w:rPr>
        <w:t>en nun</w:t>
      </w:r>
      <w:r>
        <w:rPr>
          <w:sz w:val="28"/>
          <w:szCs w:val="28"/>
        </w:rPr>
        <w:t xml:space="preserve"> das Ranking </w:t>
      </w:r>
      <w:r w:rsidR="00A02087">
        <w:rPr>
          <w:sz w:val="28"/>
          <w:szCs w:val="28"/>
        </w:rPr>
        <w:t>die bayerischen Regierungsbezirke</w:t>
      </w:r>
      <w:r w:rsidR="00186E92">
        <w:rPr>
          <w:sz w:val="28"/>
          <w:szCs w:val="28"/>
        </w:rPr>
        <w:t xml:space="preserve"> nach dem Merkmal </w:t>
      </w:r>
      <w:r>
        <w:rPr>
          <w:sz w:val="28"/>
          <w:szCs w:val="28"/>
        </w:rPr>
        <w:t xml:space="preserve">Separationsquote dar. </w:t>
      </w:r>
      <w:r w:rsidR="00186E92">
        <w:rPr>
          <w:sz w:val="28"/>
          <w:szCs w:val="28"/>
        </w:rPr>
        <w:t>Die Reihenfolge der Regierungsbezirke in der Grafik wurde nach der mittleren Separationsquote</w:t>
      </w:r>
      <w:r w:rsidR="00D647EA">
        <w:rPr>
          <w:sz w:val="28"/>
          <w:szCs w:val="28"/>
        </w:rPr>
        <w:t xml:space="preserve"> (SQ)</w:t>
      </w:r>
      <w:r w:rsidR="00186E92">
        <w:rPr>
          <w:sz w:val="28"/>
          <w:szCs w:val="28"/>
        </w:rPr>
        <w:t>, berechnet über den gesamten Beobachtungszeitraum von 2008/09 bis</w:t>
      </w:r>
      <w:r w:rsidR="00D647EA">
        <w:rPr>
          <w:sz w:val="28"/>
          <w:szCs w:val="28"/>
        </w:rPr>
        <w:t xml:space="preserve"> 20</w:t>
      </w:r>
      <w:r w:rsidR="00186E92">
        <w:rPr>
          <w:sz w:val="28"/>
          <w:szCs w:val="28"/>
        </w:rPr>
        <w:t>19/20, bestimmt.</w:t>
      </w:r>
    </w:p>
    <w:p w:rsidR="007C404A" w:rsidRDefault="007449ED" w:rsidP="005C6C80">
      <w:pPr>
        <w:rPr>
          <w:sz w:val="28"/>
          <w:szCs w:val="28"/>
        </w:rPr>
      </w:pPr>
      <w:r>
        <w:rPr>
          <w:noProof/>
          <w:sz w:val="28"/>
          <w:szCs w:val="28"/>
          <w:lang w:eastAsia="de-DE"/>
        </w:rPr>
        <w:lastRenderedPageBreak/>
        <w:drawing>
          <wp:inline distT="0" distB="0" distL="0" distR="0" wp14:anchorId="2CA79311">
            <wp:extent cx="6041390" cy="367200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 b="6042"/>
                    <a:stretch/>
                  </pic:blipFill>
                  <pic:spPr bwMode="auto">
                    <a:xfrm>
                      <a:off x="0" y="0"/>
                      <a:ext cx="6060548" cy="3683644"/>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574" w:type="dxa"/>
        <w:tblLayout w:type="fixed"/>
        <w:tblCellMar>
          <w:left w:w="70" w:type="dxa"/>
          <w:right w:w="70" w:type="dxa"/>
        </w:tblCellMar>
        <w:tblLook w:val="04A0" w:firstRow="1" w:lastRow="0" w:firstColumn="1" w:lastColumn="0" w:noHBand="0" w:noVBand="1"/>
      </w:tblPr>
      <w:tblGrid>
        <w:gridCol w:w="894"/>
        <w:gridCol w:w="1240"/>
        <w:gridCol w:w="1240"/>
        <w:gridCol w:w="1240"/>
        <w:gridCol w:w="1240"/>
        <w:gridCol w:w="1240"/>
        <w:gridCol w:w="1240"/>
        <w:gridCol w:w="1240"/>
      </w:tblGrid>
      <w:tr w:rsidR="00CE0992" w:rsidRPr="00CE0992" w:rsidTr="00D647EA">
        <w:trPr>
          <w:trHeight w:val="30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OBB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OPF</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OFR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SCHW</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NB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UFR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MFR</w:t>
            </w:r>
          </w:p>
        </w:tc>
      </w:tr>
      <w:tr w:rsidR="00CE0992" w:rsidRPr="00CE0992" w:rsidTr="00D647E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2008/09</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3,96</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3,91</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4,03</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4,43</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4,2</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5,73</w:t>
            </w:r>
          </w:p>
        </w:tc>
      </w:tr>
      <w:tr w:rsidR="00CE0992" w:rsidRPr="00CE0992" w:rsidTr="00D647E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2019/20</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3,92</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4,24</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4,8</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4,51</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4,78</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5,5</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5,64</w:t>
            </w:r>
          </w:p>
        </w:tc>
      </w:tr>
      <w:tr w:rsidR="00CE0992" w:rsidRPr="00CE0992" w:rsidTr="00D647E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MW</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3,9</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3,91</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4,33</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4,35</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4,42</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5,21</w:t>
            </w:r>
          </w:p>
        </w:tc>
        <w:tc>
          <w:tcPr>
            <w:tcW w:w="1240"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5,67</w:t>
            </w:r>
          </w:p>
        </w:tc>
      </w:tr>
      <w:tr w:rsidR="00CE0992" w:rsidRPr="00CE0992" w:rsidTr="00D647EA">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Rang</w:t>
            </w:r>
          </w:p>
        </w:tc>
        <w:tc>
          <w:tcPr>
            <w:tcW w:w="1240" w:type="dxa"/>
            <w:tcBorders>
              <w:top w:val="nil"/>
              <w:left w:val="nil"/>
              <w:bottom w:val="single" w:sz="4" w:space="0" w:color="auto"/>
              <w:right w:val="single" w:sz="4" w:space="0" w:color="auto"/>
            </w:tcBorders>
            <w:shd w:val="clear" w:color="000000" w:fill="F2F2F2"/>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w:t>
            </w:r>
          </w:p>
        </w:tc>
        <w:tc>
          <w:tcPr>
            <w:tcW w:w="1240" w:type="dxa"/>
            <w:tcBorders>
              <w:top w:val="nil"/>
              <w:left w:val="nil"/>
              <w:bottom w:val="single" w:sz="4" w:space="0" w:color="auto"/>
              <w:right w:val="single" w:sz="4" w:space="0" w:color="auto"/>
            </w:tcBorders>
            <w:shd w:val="clear" w:color="000000" w:fill="F2F2F2"/>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w:t>
            </w:r>
          </w:p>
        </w:tc>
        <w:tc>
          <w:tcPr>
            <w:tcW w:w="1240" w:type="dxa"/>
            <w:tcBorders>
              <w:top w:val="nil"/>
              <w:left w:val="nil"/>
              <w:bottom w:val="single" w:sz="4" w:space="0" w:color="auto"/>
              <w:right w:val="single" w:sz="4" w:space="0" w:color="auto"/>
            </w:tcBorders>
            <w:shd w:val="clear" w:color="000000" w:fill="D9D9D9"/>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w:t>
            </w:r>
          </w:p>
        </w:tc>
        <w:tc>
          <w:tcPr>
            <w:tcW w:w="1240" w:type="dxa"/>
            <w:tcBorders>
              <w:top w:val="nil"/>
              <w:left w:val="nil"/>
              <w:bottom w:val="single" w:sz="4" w:space="0" w:color="auto"/>
              <w:right w:val="single" w:sz="4" w:space="0" w:color="auto"/>
            </w:tcBorders>
            <w:shd w:val="clear" w:color="000000" w:fill="D9D9D9"/>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w:t>
            </w:r>
          </w:p>
        </w:tc>
        <w:tc>
          <w:tcPr>
            <w:tcW w:w="1240" w:type="dxa"/>
            <w:tcBorders>
              <w:top w:val="nil"/>
              <w:left w:val="nil"/>
              <w:bottom w:val="single" w:sz="4" w:space="0" w:color="auto"/>
              <w:right w:val="single" w:sz="4" w:space="0" w:color="auto"/>
            </w:tcBorders>
            <w:shd w:val="clear" w:color="000000" w:fill="D9D9D9"/>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w:t>
            </w:r>
          </w:p>
        </w:tc>
        <w:tc>
          <w:tcPr>
            <w:tcW w:w="1240" w:type="dxa"/>
            <w:tcBorders>
              <w:top w:val="nil"/>
              <w:left w:val="nil"/>
              <w:bottom w:val="single" w:sz="4" w:space="0" w:color="auto"/>
              <w:right w:val="single" w:sz="4" w:space="0" w:color="auto"/>
            </w:tcBorders>
            <w:shd w:val="clear" w:color="000000" w:fill="BFBFBF"/>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6</w:t>
            </w:r>
          </w:p>
        </w:tc>
        <w:tc>
          <w:tcPr>
            <w:tcW w:w="1240" w:type="dxa"/>
            <w:tcBorders>
              <w:top w:val="nil"/>
              <w:left w:val="nil"/>
              <w:bottom w:val="single" w:sz="4" w:space="0" w:color="auto"/>
              <w:right w:val="single" w:sz="4" w:space="0" w:color="auto"/>
            </w:tcBorders>
            <w:shd w:val="clear" w:color="000000" w:fill="BFBFBF"/>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7</w:t>
            </w:r>
          </w:p>
        </w:tc>
      </w:tr>
    </w:tbl>
    <w:p w:rsidR="00CE0992" w:rsidRDefault="00CE0992" w:rsidP="005C6C80">
      <w:pPr>
        <w:rPr>
          <w:sz w:val="28"/>
          <w:szCs w:val="28"/>
        </w:rPr>
      </w:pPr>
    </w:p>
    <w:p w:rsidR="00C137E1" w:rsidRDefault="00CE0992" w:rsidP="005C6C80">
      <w:pPr>
        <w:rPr>
          <w:sz w:val="28"/>
          <w:szCs w:val="28"/>
        </w:rPr>
      </w:pPr>
      <w:r>
        <w:rPr>
          <w:sz w:val="28"/>
          <w:szCs w:val="28"/>
        </w:rPr>
        <w:t xml:space="preserve">Abb. und </w:t>
      </w:r>
      <w:r w:rsidR="00C137E1">
        <w:rPr>
          <w:sz w:val="28"/>
          <w:szCs w:val="28"/>
        </w:rPr>
        <w:t>Tab</w:t>
      </w:r>
      <w:r w:rsidR="003B25AA">
        <w:rPr>
          <w:sz w:val="28"/>
          <w:szCs w:val="28"/>
        </w:rPr>
        <w:t xml:space="preserve">. 1: </w:t>
      </w:r>
      <w:r w:rsidR="005C6C80">
        <w:rPr>
          <w:sz w:val="28"/>
          <w:szCs w:val="28"/>
        </w:rPr>
        <w:t>Separationsquoten der</w:t>
      </w:r>
      <w:r w:rsidR="003B25AA">
        <w:rPr>
          <w:sz w:val="28"/>
          <w:szCs w:val="28"/>
        </w:rPr>
        <w:t xml:space="preserve"> bayerischen Regierungsbezirke</w:t>
      </w:r>
      <w:r w:rsidR="008B5062">
        <w:rPr>
          <w:sz w:val="28"/>
          <w:szCs w:val="28"/>
        </w:rPr>
        <w:t xml:space="preserve"> </w:t>
      </w:r>
    </w:p>
    <w:p w:rsidR="00C137E1" w:rsidRDefault="00186E92" w:rsidP="005C6C80">
      <w:pPr>
        <w:rPr>
          <w:sz w:val="28"/>
          <w:szCs w:val="28"/>
        </w:rPr>
      </w:pPr>
      <w:r>
        <w:rPr>
          <w:sz w:val="28"/>
          <w:szCs w:val="28"/>
        </w:rPr>
        <w:tab/>
      </w:r>
      <w:r w:rsidR="00C137E1">
        <w:rPr>
          <w:sz w:val="28"/>
          <w:szCs w:val="28"/>
        </w:rPr>
        <w:t>- für das Referenzjahr 2008/09</w:t>
      </w:r>
      <w:r w:rsidR="003B25AA">
        <w:rPr>
          <w:sz w:val="28"/>
          <w:szCs w:val="28"/>
        </w:rPr>
        <w:t xml:space="preserve"> (</w:t>
      </w:r>
      <w:r w:rsidR="00C137E1">
        <w:rPr>
          <w:sz w:val="28"/>
          <w:szCs w:val="28"/>
        </w:rPr>
        <w:t xml:space="preserve">schwarze </w:t>
      </w:r>
      <w:r w:rsidR="003B25AA">
        <w:rPr>
          <w:sz w:val="28"/>
          <w:szCs w:val="28"/>
        </w:rPr>
        <w:t xml:space="preserve">Linie) </w:t>
      </w:r>
    </w:p>
    <w:p w:rsidR="00C137E1" w:rsidRDefault="00186E92" w:rsidP="005C6C80">
      <w:pPr>
        <w:rPr>
          <w:sz w:val="28"/>
          <w:szCs w:val="28"/>
        </w:rPr>
      </w:pPr>
      <w:r>
        <w:rPr>
          <w:sz w:val="28"/>
          <w:szCs w:val="28"/>
        </w:rPr>
        <w:tab/>
      </w:r>
      <w:r w:rsidR="00D647EA">
        <w:rPr>
          <w:sz w:val="28"/>
          <w:szCs w:val="28"/>
        </w:rPr>
        <w:t>- für das Schlussjahr 201</w:t>
      </w:r>
      <w:r w:rsidR="00C137E1">
        <w:rPr>
          <w:sz w:val="28"/>
          <w:szCs w:val="28"/>
        </w:rPr>
        <w:t>9/20 (rote Linie)</w:t>
      </w:r>
    </w:p>
    <w:p w:rsidR="005C6C80" w:rsidRDefault="00186E92" w:rsidP="005C6C80">
      <w:pPr>
        <w:rPr>
          <w:sz w:val="28"/>
          <w:szCs w:val="28"/>
        </w:rPr>
      </w:pPr>
      <w:r>
        <w:rPr>
          <w:sz w:val="28"/>
          <w:szCs w:val="28"/>
        </w:rPr>
        <w:tab/>
      </w:r>
      <w:r w:rsidR="00C137E1">
        <w:rPr>
          <w:sz w:val="28"/>
          <w:szCs w:val="28"/>
        </w:rPr>
        <w:t>- für den</w:t>
      </w:r>
      <w:r w:rsidR="003B25AA">
        <w:rPr>
          <w:sz w:val="28"/>
          <w:szCs w:val="28"/>
        </w:rPr>
        <w:t xml:space="preserve"> Zeitraum </w:t>
      </w:r>
      <w:r w:rsidR="00C137E1">
        <w:rPr>
          <w:sz w:val="28"/>
          <w:szCs w:val="28"/>
        </w:rPr>
        <w:t xml:space="preserve">von </w:t>
      </w:r>
      <w:r w:rsidR="003B25AA">
        <w:rPr>
          <w:sz w:val="28"/>
          <w:szCs w:val="28"/>
        </w:rPr>
        <w:t>2008/09 bis 2019/20 (Säulen)</w:t>
      </w:r>
    </w:p>
    <w:p w:rsidR="00186E92" w:rsidRDefault="00186E92" w:rsidP="005C6C80">
      <w:pPr>
        <w:rPr>
          <w:sz w:val="28"/>
          <w:szCs w:val="28"/>
        </w:rPr>
      </w:pPr>
    </w:p>
    <w:p w:rsidR="00186E92" w:rsidRDefault="00255664" w:rsidP="005C6C80">
      <w:pPr>
        <w:rPr>
          <w:sz w:val="28"/>
          <w:szCs w:val="28"/>
        </w:rPr>
      </w:pPr>
      <w:r>
        <w:rPr>
          <w:sz w:val="28"/>
          <w:szCs w:val="28"/>
        </w:rPr>
        <w:t>Die sieben Regierungsbezirke können aufgrund ähnlicher mittlerer Separationsquoten in drei Gruppen oder Cluster eingeteilt werden.</w:t>
      </w:r>
    </w:p>
    <w:p w:rsidR="00255664" w:rsidRDefault="00255664" w:rsidP="00255664">
      <w:pPr>
        <w:pStyle w:val="Listenabsatz"/>
        <w:numPr>
          <w:ilvl w:val="0"/>
          <w:numId w:val="5"/>
        </w:numPr>
        <w:rPr>
          <w:sz w:val="28"/>
          <w:szCs w:val="28"/>
        </w:rPr>
      </w:pPr>
      <w:r>
        <w:rPr>
          <w:sz w:val="28"/>
          <w:szCs w:val="28"/>
        </w:rPr>
        <w:t xml:space="preserve">Die obere Gruppe </w:t>
      </w:r>
      <w:r w:rsidR="00D647EA">
        <w:rPr>
          <w:sz w:val="28"/>
          <w:szCs w:val="28"/>
        </w:rPr>
        <w:t xml:space="preserve">(Rang 1 und 2) </w:t>
      </w:r>
      <w:r>
        <w:rPr>
          <w:sz w:val="28"/>
          <w:szCs w:val="28"/>
        </w:rPr>
        <w:t xml:space="preserve">präsentiert sich mit dem niedrigsten Separationswert von 3,9 Prozent. Ihr gehören die beiden Regierungsbezirke </w:t>
      </w:r>
      <w:r w:rsidRPr="00255664">
        <w:rPr>
          <w:i/>
          <w:sz w:val="28"/>
          <w:szCs w:val="28"/>
        </w:rPr>
        <w:t>Oberbayern</w:t>
      </w:r>
      <w:r w:rsidR="002C75DC">
        <w:rPr>
          <w:i/>
          <w:sz w:val="28"/>
          <w:szCs w:val="28"/>
        </w:rPr>
        <w:t xml:space="preserve"> (OBB)</w:t>
      </w:r>
      <w:r>
        <w:rPr>
          <w:sz w:val="28"/>
          <w:szCs w:val="28"/>
        </w:rPr>
        <w:t xml:space="preserve"> und </w:t>
      </w:r>
      <w:r w:rsidRPr="00255664">
        <w:rPr>
          <w:i/>
          <w:sz w:val="28"/>
          <w:szCs w:val="28"/>
        </w:rPr>
        <w:t>Oberpfalz</w:t>
      </w:r>
      <w:r w:rsidR="002C75DC">
        <w:rPr>
          <w:i/>
          <w:sz w:val="28"/>
          <w:szCs w:val="28"/>
        </w:rPr>
        <w:t xml:space="preserve"> (OPF)</w:t>
      </w:r>
      <w:r>
        <w:rPr>
          <w:sz w:val="28"/>
          <w:szCs w:val="28"/>
        </w:rPr>
        <w:t xml:space="preserve"> an.</w:t>
      </w:r>
      <w:r w:rsidR="001A66B3">
        <w:rPr>
          <w:sz w:val="28"/>
          <w:szCs w:val="28"/>
        </w:rPr>
        <w:t xml:space="preserve"> Es lohnt sich, die absoluten Zahlen in Anhang einmal anzuschau</w:t>
      </w:r>
      <w:r w:rsidR="00667738">
        <w:rPr>
          <w:sz w:val="28"/>
          <w:szCs w:val="28"/>
        </w:rPr>
        <w:t>e</w:t>
      </w:r>
      <w:r w:rsidR="001A66B3">
        <w:rPr>
          <w:sz w:val="28"/>
          <w:szCs w:val="28"/>
        </w:rPr>
        <w:t xml:space="preserve">n. Beide Bezirke warten nicht nur mit der niedrigsten Separationsquote auf, sondern legen sehr stabile Messwertreihen ohne Ausreißer und </w:t>
      </w:r>
      <w:r w:rsidR="00100E9A">
        <w:rPr>
          <w:sz w:val="28"/>
          <w:szCs w:val="28"/>
        </w:rPr>
        <w:t>nennenswerte Abweichungen vor.</w:t>
      </w:r>
    </w:p>
    <w:p w:rsidR="00100E9A" w:rsidRDefault="00100E9A" w:rsidP="00255664">
      <w:pPr>
        <w:pStyle w:val="Listenabsatz"/>
        <w:numPr>
          <w:ilvl w:val="0"/>
          <w:numId w:val="5"/>
        </w:numPr>
        <w:rPr>
          <w:sz w:val="28"/>
          <w:szCs w:val="28"/>
        </w:rPr>
      </w:pPr>
      <w:r>
        <w:rPr>
          <w:sz w:val="28"/>
          <w:szCs w:val="28"/>
        </w:rPr>
        <w:t xml:space="preserve">Die untere Gruppe </w:t>
      </w:r>
      <w:r w:rsidR="00D647EA">
        <w:rPr>
          <w:sz w:val="28"/>
          <w:szCs w:val="28"/>
        </w:rPr>
        <w:t xml:space="preserve">(Rang 6 und 7) </w:t>
      </w:r>
      <w:r>
        <w:rPr>
          <w:sz w:val="28"/>
          <w:szCs w:val="28"/>
        </w:rPr>
        <w:t xml:space="preserve">setzt sich aus den Bezirken </w:t>
      </w:r>
      <w:r w:rsidRPr="00100E9A">
        <w:rPr>
          <w:i/>
          <w:sz w:val="28"/>
          <w:szCs w:val="28"/>
        </w:rPr>
        <w:t>Unterfranken</w:t>
      </w:r>
      <w:r w:rsidR="002C75DC">
        <w:rPr>
          <w:i/>
          <w:sz w:val="28"/>
          <w:szCs w:val="28"/>
        </w:rPr>
        <w:t xml:space="preserve"> (UFR)</w:t>
      </w:r>
      <w:r>
        <w:rPr>
          <w:sz w:val="28"/>
          <w:szCs w:val="28"/>
        </w:rPr>
        <w:t xml:space="preserve"> und </w:t>
      </w:r>
      <w:r w:rsidRPr="00100E9A">
        <w:rPr>
          <w:i/>
          <w:sz w:val="28"/>
          <w:szCs w:val="28"/>
        </w:rPr>
        <w:t>Mittelfranken</w:t>
      </w:r>
      <w:r w:rsidR="002C75DC">
        <w:rPr>
          <w:i/>
          <w:sz w:val="28"/>
          <w:szCs w:val="28"/>
        </w:rPr>
        <w:t xml:space="preserve"> (MFR)</w:t>
      </w:r>
      <w:r>
        <w:rPr>
          <w:sz w:val="28"/>
          <w:szCs w:val="28"/>
        </w:rPr>
        <w:t xml:space="preserve"> zusammen. Die im Vergleich aller Bezirke höchsten Separationswerte um mehr als 5 Prozent weisen die beiden fränkische Bezirke als Regionen mit einer traditionellen, hohen Selektionsorientierung aus.</w:t>
      </w:r>
    </w:p>
    <w:p w:rsidR="00D7774F" w:rsidRDefault="00D7774F" w:rsidP="00255664">
      <w:pPr>
        <w:pStyle w:val="Listenabsatz"/>
        <w:numPr>
          <w:ilvl w:val="0"/>
          <w:numId w:val="5"/>
        </w:numPr>
        <w:rPr>
          <w:sz w:val="28"/>
          <w:szCs w:val="28"/>
        </w:rPr>
      </w:pPr>
      <w:r>
        <w:rPr>
          <w:sz w:val="28"/>
          <w:szCs w:val="28"/>
        </w:rPr>
        <w:lastRenderedPageBreak/>
        <w:t xml:space="preserve">Die mittlere Gruppe </w:t>
      </w:r>
      <w:r w:rsidR="00D647EA">
        <w:rPr>
          <w:sz w:val="28"/>
          <w:szCs w:val="28"/>
        </w:rPr>
        <w:t xml:space="preserve">(Rang 3,4,5) </w:t>
      </w:r>
      <w:r>
        <w:rPr>
          <w:sz w:val="28"/>
          <w:szCs w:val="28"/>
        </w:rPr>
        <w:t xml:space="preserve">bilden die Bezirke </w:t>
      </w:r>
      <w:r w:rsidRPr="00D7774F">
        <w:rPr>
          <w:i/>
          <w:sz w:val="28"/>
          <w:szCs w:val="28"/>
        </w:rPr>
        <w:t>Oberfranken</w:t>
      </w:r>
      <w:r>
        <w:rPr>
          <w:sz w:val="28"/>
          <w:szCs w:val="28"/>
        </w:rPr>
        <w:t xml:space="preserve">, </w:t>
      </w:r>
      <w:r w:rsidRPr="00D7774F">
        <w:rPr>
          <w:i/>
          <w:sz w:val="28"/>
          <w:szCs w:val="28"/>
        </w:rPr>
        <w:t>Schwaben</w:t>
      </w:r>
      <w:r>
        <w:rPr>
          <w:sz w:val="28"/>
          <w:szCs w:val="28"/>
        </w:rPr>
        <w:t xml:space="preserve"> </w:t>
      </w:r>
      <w:r w:rsidR="002C75DC" w:rsidRPr="002C75DC">
        <w:rPr>
          <w:i/>
          <w:sz w:val="28"/>
          <w:szCs w:val="28"/>
        </w:rPr>
        <w:t>(SCHW)</w:t>
      </w:r>
      <w:r w:rsidR="002C75DC">
        <w:rPr>
          <w:sz w:val="28"/>
          <w:szCs w:val="28"/>
        </w:rPr>
        <w:t xml:space="preserve"> </w:t>
      </w:r>
      <w:r>
        <w:rPr>
          <w:sz w:val="28"/>
          <w:szCs w:val="28"/>
        </w:rPr>
        <w:t xml:space="preserve">und </w:t>
      </w:r>
      <w:r w:rsidRPr="00D7774F">
        <w:rPr>
          <w:i/>
          <w:sz w:val="28"/>
          <w:szCs w:val="28"/>
        </w:rPr>
        <w:t>Niederbayern</w:t>
      </w:r>
      <w:r w:rsidR="00E117EE">
        <w:rPr>
          <w:sz w:val="28"/>
          <w:szCs w:val="28"/>
        </w:rPr>
        <w:t xml:space="preserve"> </w:t>
      </w:r>
      <w:r w:rsidR="002C75DC" w:rsidRPr="002C75DC">
        <w:rPr>
          <w:i/>
          <w:sz w:val="28"/>
          <w:szCs w:val="28"/>
        </w:rPr>
        <w:t>(NB)</w:t>
      </w:r>
      <w:r w:rsidR="002C75DC">
        <w:rPr>
          <w:sz w:val="28"/>
          <w:szCs w:val="28"/>
        </w:rPr>
        <w:t xml:space="preserve"> </w:t>
      </w:r>
      <w:r w:rsidR="00E117EE">
        <w:rPr>
          <w:sz w:val="28"/>
          <w:szCs w:val="28"/>
        </w:rPr>
        <w:t>mit einer</w:t>
      </w:r>
      <w:r>
        <w:rPr>
          <w:sz w:val="28"/>
          <w:szCs w:val="28"/>
        </w:rPr>
        <w:t xml:space="preserve"> mittleren Separationsquote von ± 4,5 Prozent. </w:t>
      </w:r>
    </w:p>
    <w:p w:rsidR="00D14B35" w:rsidRDefault="00D14B35" w:rsidP="00255664">
      <w:pPr>
        <w:pStyle w:val="Listenabsatz"/>
        <w:numPr>
          <w:ilvl w:val="0"/>
          <w:numId w:val="5"/>
        </w:numPr>
        <w:rPr>
          <w:sz w:val="28"/>
          <w:szCs w:val="28"/>
        </w:rPr>
      </w:pPr>
      <w:r>
        <w:rPr>
          <w:sz w:val="28"/>
          <w:szCs w:val="28"/>
        </w:rPr>
        <w:t>Die statistischen Analysen von Hollenbach-</w:t>
      </w:r>
      <w:proofErr w:type="spellStart"/>
      <w:r>
        <w:rPr>
          <w:sz w:val="28"/>
          <w:szCs w:val="28"/>
        </w:rPr>
        <w:t>Biele</w:t>
      </w:r>
      <w:proofErr w:type="spellEnd"/>
      <w:r>
        <w:rPr>
          <w:sz w:val="28"/>
          <w:szCs w:val="28"/>
        </w:rPr>
        <w:t xml:space="preserve"> /Klemm (2020) vermelden für Bayern in 2008/09 eine Separationsquote von 4,5 Prozent und in 2018/19 von 4,7 Prozent. Für die gesamte BRD lauten die entsprechenden Werte 4,8 und 4,2 Prozent.</w:t>
      </w:r>
    </w:p>
    <w:p w:rsidR="0023722A" w:rsidRDefault="0023722A" w:rsidP="00255664">
      <w:pPr>
        <w:pStyle w:val="Listenabsatz"/>
        <w:numPr>
          <w:ilvl w:val="0"/>
          <w:numId w:val="5"/>
        </w:numPr>
        <w:rPr>
          <w:sz w:val="28"/>
          <w:szCs w:val="28"/>
        </w:rPr>
      </w:pPr>
      <w:r>
        <w:rPr>
          <w:sz w:val="28"/>
          <w:szCs w:val="28"/>
        </w:rPr>
        <w:t>Die beiden Linien in der Grafik zeigen an, v</w:t>
      </w:r>
      <w:r w:rsidR="00D14B35">
        <w:rPr>
          <w:sz w:val="28"/>
          <w:szCs w:val="28"/>
        </w:rPr>
        <w:t xml:space="preserve">on wo die Bezirke gestartet </w:t>
      </w:r>
      <w:r>
        <w:rPr>
          <w:sz w:val="28"/>
          <w:szCs w:val="28"/>
        </w:rPr>
        <w:t xml:space="preserve"> (2008/09 – schwarze Linie) und wo sie nach elf Jahren angekommen sind (2019/20 – rote Linie). Am Ende </w:t>
      </w:r>
      <w:r w:rsidR="00A02087">
        <w:rPr>
          <w:sz w:val="28"/>
          <w:szCs w:val="28"/>
        </w:rPr>
        <w:t>der elfjährigen Reformentwicklung</w:t>
      </w:r>
      <w:r>
        <w:rPr>
          <w:sz w:val="28"/>
          <w:szCs w:val="28"/>
        </w:rPr>
        <w:t xml:space="preserve"> liegen in der Oberpfalz, in Oberfranken, Niederbayern und Unterfranken die Ziellinien deutlich über der Startlinie; das bedeutet, die genannten Bezirke haben, wie eine inklusive Entwicklung es eigentlich erwarten</w:t>
      </w:r>
      <w:r w:rsidR="008411A9">
        <w:rPr>
          <w:sz w:val="28"/>
          <w:szCs w:val="28"/>
        </w:rPr>
        <w:t xml:space="preserve"> kann, ihre Separationsquote keineswegs gemindert, sondern sogar noch gesteigert</w:t>
      </w:r>
      <w:r w:rsidR="00D647EA">
        <w:rPr>
          <w:sz w:val="28"/>
          <w:szCs w:val="28"/>
        </w:rPr>
        <w:t>!</w:t>
      </w:r>
      <w:r w:rsidR="008411A9">
        <w:rPr>
          <w:sz w:val="28"/>
          <w:szCs w:val="28"/>
        </w:rPr>
        <w:t xml:space="preserve"> Die Regierungsbezirke Oberbayern, Schwaben und Mittelfranken haben sich von Anfang bis Ende in ihrem Separationsverhalten kaum bewegt und positiv verändert, was im Falle von Schwaben und erst </w:t>
      </w:r>
      <w:r w:rsidR="00E117EE">
        <w:rPr>
          <w:sz w:val="28"/>
          <w:szCs w:val="28"/>
        </w:rPr>
        <w:t>recht von Mittelfranken durchaus</w:t>
      </w:r>
      <w:r w:rsidR="008411A9">
        <w:rPr>
          <w:sz w:val="28"/>
          <w:szCs w:val="28"/>
        </w:rPr>
        <w:t xml:space="preserve"> kein Kompliment ist.</w:t>
      </w:r>
    </w:p>
    <w:p w:rsidR="00B41961" w:rsidRDefault="008411A9" w:rsidP="00255664">
      <w:pPr>
        <w:pStyle w:val="Listenabsatz"/>
        <w:numPr>
          <w:ilvl w:val="0"/>
          <w:numId w:val="5"/>
        </w:numPr>
        <w:rPr>
          <w:sz w:val="28"/>
          <w:szCs w:val="28"/>
        </w:rPr>
      </w:pPr>
      <w:r>
        <w:rPr>
          <w:sz w:val="28"/>
          <w:szCs w:val="28"/>
        </w:rPr>
        <w:t>Insgesamt vermittelt die Grafik der Separationsquoten e</w:t>
      </w:r>
      <w:r w:rsidR="00D647EA">
        <w:rPr>
          <w:sz w:val="28"/>
          <w:szCs w:val="28"/>
        </w:rPr>
        <w:t>inen</w:t>
      </w:r>
      <w:r>
        <w:rPr>
          <w:sz w:val="28"/>
          <w:szCs w:val="28"/>
        </w:rPr>
        <w:t xml:space="preserve"> Eindruck</w:t>
      </w:r>
      <w:r w:rsidR="00D647EA">
        <w:rPr>
          <w:sz w:val="28"/>
          <w:szCs w:val="28"/>
        </w:rPr>
        <w:t xml:space="preserve"> der Stagnation:</w:t>
      </w:r>
      <w:r w:rsidR="001A62C3">
        <w:rPr>
          <w:sz w:val="28"/>
          <w:szCs w:val="28"/>
        </w:rPr>
        <w:t xml:space="preserve"> </w:t>
      </w:r>
      <w:r w:rsidR="00D647EA">
        <w:rPr>
          <w:sz w:val="28"/>
          <w:szCs w:val="28"/>
        </w:rPr>
        <w:t>Alle</w:t>
      </w:r>
      <w:r w:rsidR="000519FD">
        <w:rPr>
          <w:sz w:val="28"/>
          <w:szCs w:val="28"/>
        </w:rPr>
        <w:t xml:space="preserve"> drei Cluster verändern innerhalb der Reformzeit ihren Platz auf der Rangliste </w:t>
      </w:r>
      <w:r w:rsidR="00A02087">
        <w:rPr>
          <w:sz w:val="28"/>
          <w:szCs w:val="28"/>
        </w:rPr>
        <w:t>des Wettbewerbs</w:t>
      </w:r>
      <w:r w:rsidR="000519FD">
        <w:rPr>
          <w:sz w:val="28"/>
          <w:szCs w:val="28"/>
        </w:rPr>
        <w:t xml:space="preserve"> um </w:t>
      </w:r>
      <w:r w:rsidR="00A02087">
        <w:rPr>
          <w:sz w:val="28"/>
          <w:szCs w:val="28"/>
        </w:rPr>
        <w:t>eine Minderung</w:t>
      </w:r>
      <w:r w:rsidR="000519FD">
        <w:rPr>
          <w:sz w:val="28"/>
          <w:szCs w:val="28"/>
        </w:rPr>
        <w:t xml:space="preserve"> der Separation</w:t>
      </w:r>
      <w:r w:rsidR="00D647EA">
        <w:rPr>
          <w:sz w:val="28"/>
          <w:szCs w:val="28"/>
        </w:rPr>
        <w:t xml:space="preserve"> nicht.  Die bayerische Förderschullandschaft </w:t>
      </w:r>
      <w:r w:rsidR="000519FD">
        <w:rPr>
          <w:sz w:val="28"/>
          <w:szCs w:val="28"/>
        </w:rPr>
        <w:t>bewegt sich kaum vom Fleck; sie bewegt</w:t>
      </w:r>
      <w:r w:rsidR="00D647EA">
        <w:rPr>
          <w:sz w:val="28"/>
          <w:szCs w:val="28"/>
        </w:rPr>
        <w:t xml:space="preserve"> sich</w:t>
      </w:r>
      <w:r w:rsidR="000519FD">
        <w:rPr>
          <w:sz w:val="28"/>
          <w:szCs w:val="28"/>
        </w:rPr>
        <w:t>, wenn überhaupt, nicht in Richtung weniger Aussonderung, sondern im Gegenteil in Richtung mehr Separation.</w:t>
      </w:r>
    </w:p>
    <w:p w:rsidR="008411A9" w:rsidRPr="00255664" w:rsidRDefault="00B41961" w:rsidP="00B41961">
      <w:pPr>
        <w:rPr>
          <w:sz w:val="28"/>
          <w:szCs w:val="28"/>
        </w:rPr>
      </w:pPr>
      <w:r>
        <w:rPr>
          <w:sz w:val="28"/>
          <w:szCs w:val="28"/>
        </w:rPr>
        <w:br w:type="page"/>
      </w:r>
    </w:p>
    <w:p w:rsidR="00186E92" w:rsidRDefault="00186E92" w:rsidP="005C6C80">
      <w:pPr>
        <w:rPr>
          <w:sz w:val="28"/>
          <w:szCs w:val="28"/>
        </w:rPr>
      </w:pPr>
    </w:p>
    <w:p w:rsidR="00A37E30" w:rsidRDefault="007449ED" w:rsidP="002061BB">
      <w:pPr>
        <w:rPr>
          <w:sz w:val="28"/>
          <w:szCs w:val="28"/>
        </w:rPr>
      </w:pPr>
      <w:r>
        <w:rPr>
          <w:noProof/>
          <w:sz w:val="28"/>
          <w:szCs w:val="28"/>
          <w:lang w:eastAsia="de-DE"/>
        </w:rPr>
        <w:drawing>
          <wp:inline distT="0" distB="0" distL="0" distR="0" wp14:anchorId="710812B4">
            <wp:extent cx="6017489" cy="3622431"/>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868"/>
                    <a:stretch/>
                  </pic:blipFill>
                  <pic:spPr bwMode="auto">
                    <a:xfrm>
                      <a:off x="0" y="0"/>
                      <a:ext cx="6058837" cy="3647322"/>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517" w:type="dxa"/>
        <w:tblLayout w:type="fixed"/>
        <w:tblCellMar>
          <w:left w:w="70" w:type="dxa"/>
          <w:right w:w="70" w:type="dxa"/>
        </w:tblCellMar>
        <w:tblLook w:val="04A0" w:firstRow="1" w:lastRow="0" w:firstColumn="1" w:lastColumn="0" w:noHBand="0" w:noVBand="1"/>
      </w:tblPr>
      <w:tblGrid>
        <w:gridCol w:w="894"/>
        <w:gridCol w:w="1231"/>
        <w:gridCol w:w="1232"/>
        <w:gridCol w:w="1232"/>
        <w:gridCol w:w="1232"/>
        <w:gridCol w:w="1232"/>
        <w:gridCol w:w="1232"/>
        <w:gridCol w:w="1232"/>
      </w:tblGrid>
      <w:tr w:rsidR="00CE0992" w:rsidRPr="00CE0992" w:rsidTr="00CE0992">
        <w:trPr>
          <w:trHeight w:val="30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 </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OPF</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NB</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UFR</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SCHW</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OBB</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OFR</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CE0992" w:rsidRPr="00CE0992" w:rsidRDefault="00CE0992" w:rsidP="00CE0992">
            <w:pPr>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MFR</w:t>
            </w:r>
          </w:p>
        </w:tc>
      </w:tr>
      <w:tr w:rsidR="00CE0992" w:rsidRPr="00CE0992" w:rsidTr="00CE0992">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2008/09</w:t>
            </w:r>
          </w:p>
        </w:tc>
        <w:tc>
          <w:tcPr>
            <w:tcW w:w="1231"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1,38</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1,43</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1,77</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0,64</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0,614</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0,88</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0,36</w:t>
            </w:r>
          </w:p>
        </w:tc>
      </w:tr>
      <w:tr w:rsidR="00CE0992" w:rsidRPr="00CE0992" w:rsidTr="00CE0992">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2019/20</w:t>
            </w:r>
          </w:p>
        </w:tc>
        <w:tc>
          <w:tcPr>
            <w:tcW w:w="1231"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2,46</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2,74</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3,08</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2,73</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1,73</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1,37</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1,47</w:t>
            </w:r>
          </w:p>
        </w:tc>
      </w:tr>
      <w:tr w:rsidR="00CE0992" w:rsidRPr="00CE0992" w:rsidTr="00CE0992">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MW</w:t>
            </w:r>
          </w:p>
        </w:tc>
        <w:tc>
          <w:tcPr>
            <w:tcW w:w="1231"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2,22</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2,14</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2,06</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1,53</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1,33</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1,25</w:t>
            </w:r>
          </w:p>
        </w:tc>
        <w:tc>
          <w:tcPr>
            <w:tcW w:w="1232" w:type="dxa"/>
            <w:tcBorders>
              <w:top w:val="nil"/>
              <w:left w:val="nil"/>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0,83</w:t>
            </w:r>
          </w:p>
        </w:tc>
      </w:tr>
      <w:tr w:rsidR="00CE0992" w:rsidRPr="00CE0992" w:rsidTr="00DA3215">
        <w:trPr>
          <w:trHeight w:val="300"/>
        </w:trPr>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Rang</w:t>
            </w:r>
          </w:p>
        </w:tc>
        <w:tc>
          <w:tcPr>
            <w:tcW w:w="1231" w:type="dxa"/>
            <w:tcBorders>
              <w:top w:val="nil"/>
              <w:left w:val="nil"/>
              <w:bottom w:val="single" w:sz="4" w:space="0" w:color="auto"/>
              <w:right w:val="single" w:sz="4" w:space="0" w:color="auto"/>
            </w:tcBorders>
            <w:shd w:val="clear" w:color="000000" w:fill="F2F2F2"/>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1</w:t>
            </w:r>
          </w:p>
        </w:tc>
        <w:tc>
          <w:tcPr>
            <w:tcW w:w="1232" w:type="dxa"/>
            <w:tcBorders>
              <w:top w:val="nil"/>
              <w:left w:val="nil"/>
              <w:bottom w:val="single" w:sz="4" w:space="0" w:color="auto"/>
              <w:right w:val="single" w:sz="4" w:space="0" w:color="auto"/>
            </w:tcBorders>
            <w:shd w:val="clear" w:color="000000" w:fill="F2F2F2"/>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2</w:t>
            </w:r>
          </w:p>
        </w:tc>
        <w:tc>
          <w:tcPr>
            <w:tcW w:w="1232" w:type="dxa"/>
            <w:tcBorders>
              <w:top w:val="nil"/>
              <w:left w:val="nil"/>
              <w:bottom w:val="single" w:sz="4" w:space="0" w:color="auto"/>
              <w:right w:val="single" w:sz="4" w:space="0" w:color="auto"/>
            </w:tcBorders>
            <w:shd w:val="clear" w:color="auto" w:fill="D9D9D9" w:themeFill="background1" w:themeFillShade="D9"/>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3</w:t>
            </w:r>
          </w:p>
        </w:tc>
        <w:tc>
          <w:tcPr>
            <w:tcW w:w="1232" w:type="dxa"/>
            <w:tcBorders>
              <w:top w:val="nil"/>
              <w:left w:val="nil"/>
              <w:bottom w:val="single" w:sz="4" w:space="0" w:color="auto"/>
              <w:right w:val="single" w:sz="4" w:space="0" w:color="auto"/>
            </w:tcBorders>
            <w:shd w:val="clear" w:color="000000" w:fill="D9D9D9"/>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4</w:t>
            </w:r>
          </w:p>
        </w:tc>
        <w:tc>
          <w:tcPr>
            <w:tcW w:w="1232" w:type="dxa"/>
            <w:tcBorders>
              <w:top w:val="nil"/>
              <w:left w:val="nil"/>
              <w:bottom w:val="single" w:sz="4" w:space="0" w:color="auto"/>
              <w:right w:val="single" w:sz="4" w:space="0" w:color="auto"/>
            </w:tcBorders>
            <w:shd w:val="clear" w:color="000000" w:fill="D9D9D9"/>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5</w:t>
            </w:r>
          </w:p>
        </w:tc>
        <w:tc>
          <w:tcPr>
            <w:tcW w:w="1232" w:type="dxa"/>
            <w:tcBorders>
              <w:top w:val="nil"/>
              <w:left w:val="nil"/>
              <w:bottom w:val="single" w:sz="4" w:space="0" w:color="auto"/>
              <w:right w:val="single" w:sz="4" w:space="0" w:color="auto"/>
            </w:tcBorders>
            <w:shd w:val="clear" w:color="auto" w:fill="BFBFBF" w:themeFill="background1" w:themeFillShade="BF"/>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6</w:t>
            </w:r>
          </w:p>
        </w:tc>
        <w:tc>
          <w:tcPr>
            <w:tcW w:w="1232" w:type="dxa"/>
            <w:tcBorders>
              <w:top w:val="nil"/>
              <w:left w:val="nil"/>
              <w:bottom w:val="single" w:sz="4" w:space="0" w:color="auto"/>
              <w:right w:val="single" w:sz="4" w:space="0" w:color="auto"/>
            </w:tcBorders>
            <w:shd w:val="clear" w:color="auto" w:fill="BFBFBF" w:themeFill="background1" w:themeFillShade="BF"/>
            <w:noWrap/>
            <w:vAlign w:val="bottom"/>
            <w:hideMark/>
          </w:tcPr>
          <w:p w:rsidR="00CE0992" w:rsidRPr="00CE0992" w:rsidRDefault="00CE0992" w:rsidP="00CE0992">
            <w:pPr>
              <w:jc w:val="right"/>
              <w:rPr>
                <w:rFonts w:ascii="Calibri" w:eastAsia="Times New Roman" w:hAnsi="Calibri" w:cs="Calibri"/>
                <w:color w:val="000000"/>
                <w:sz w:val="22"/>
                <w:lang w:eastAsia="de-DE"/>
              </w:rPr>
            </w:pPr>
            <w:r w:rsidRPr="00CE0992">
              <w:rPr>
                <w:rFonts w:ascii="Calibri" w:eastAsia="Times New Roman" w:hAnsi="Calibri" w:cs="Calibri"/>
                <w:color w:val="000000"/>
                <w:sz w:val="22"/>
                <w:lang w:eastAsia="de-DE"/>
              </w:rPr>
              <w:t>7</w:t>
            </w:r>
          </w:p>
        </w:tc>
      </w:tr>
    </w:tbl>
    <w:p w:rsidR="00CE0992" w:rsidRDefault="00CE0992" w:rsidP="008A2471">
      <w:pPr>
        <w:rPr>
          <w:sz w:val="28"/>
          <w:szCs w:val="28"/>
        </w:rPr>
      </w:pPr>
    </w:p>
    <w:p w:rsidR="00C137E1" w:rsidRDefault="00CE0992" w:rsidP="00C137E1">
      <w:pPr>
        <w:rPr>
          <w:sz w:val="28"/>
          <w:szCs w:val="28"/>
        </w:rPr>
      </w:pPr>
      <w:r>
        <w:rPr>
          <w:sz w:val="28"/>
          <w:szCs w:val="28"/>
        </w:rPr>
        <w:t xml:space="preserve">Abb. und </w:t>
      </w:r>
      <w:r w:rsidR="00B41961">
        <w:rPr>
          <w:sz w:val="28"/>
          <w:szCs w:val="28"/>
        </w:rPr>
        <w:t>Tab. 2</w:t>
      </w:r>
      <w:r w:rsidR="00C137E1">
        <w:rPr>
          <w:sz w:val="28"/>
          <w:szCs w:val="28"/>
        </w:rPr>
        <w:t xml:space="preserve">: Inklusionsquoten der bayerischen Regierungsbezirke </w:t>
      </w:r>
    </w:p>
    <w:p w:rsidR="00C137E1" w:rsidRDefault="00C137E1" w:rsidP="00C137E1">
      <w:pPr>
        <w:rPr>
          <w:sz w:val="28"/>
          <w:szCs w:val="28"/>
        </w:rPr>
      </w:pPr>
      <w:r>
        <w:rPr>
          <w:sz w:val="28"/>
          <w:szCs w:val="28"/>
        </w:rPr>
        <w:t xml:space="preserve">- für das Referenzjahr 2008/09 (schwarze Linie) </w:t>
      </w:r>
    </w:p>
    <w:p w:rsidR="00C137E1" w:rsidRDefault="00C137E1" w:rsidP="00C137E1">
      <w:pPr>
        <w:rPr>
          <w:sz w:val="28"/>
          <w:szCs w:val="28"/>
        </w:rPr>
      </w:pPr>
      <w:r>
        <w:rPr>
          <w:sz w:val="28"/>
          <w:szCs w:val="28"/>
        </w:rPr>
        <w:t>- für das Schlussjahr 2029/20 (rote Linie)</w:t>
      </w:r>
    </w:p>
    <w:p w:rsidR="007449ED" w:rsidRDefault="00C137E1" w:rsidP="00C137E1">
      <w:pPr>
        <w:rPr>
          <w:sz w:val="28"/>
          <w:szCs w:val="28"/>
        </w:rPr>
      </w:pPr>
      <w:r>
        <w:rPr>
          <w:sz w:val="28"/>
          <w:szCs w:val="28"/>
        </w:rPr>
        <w:t>- für den Zeitraum von 2008/09 bis 2019/20 (Säulen) (Ranking nach MW)</w:t>
      </w:r>
    </w:p>
    <w:p w:rsidR="00B41961" w:rsidRDefault="00B41961" w:rsidP="00C137E1">
      <w:pPr>
        <w:rPr>
          <w:sz w:val="28"/>
          <w:szCs w:val="28"/>
        </w:rPr>
      </w:pPr>
    </w:p>
    <w:p w:rsidR="00E117EE" w:rsidRDefault="00A151CC" w:rsidP="00C137E1">
      <w:pPr>
        <w:rPr>
          <w:sz w:val="28"/>
          <w:szCs w:val="28"/>
        </w:rPr>
      </w:pPr>
      <w:r>
        <w:rPr>
          <w:sz w:val="28"/>
          <w:szCs w:val="28"/>
        </w:rPr>
        <w:t>Schauen wir nun auf das sekundäre Qualitätskriterium</w:t>
      </w:r>
      <w:r w:rsidR="00E117EE">
        <w:rPr>
          <w:sz w:val="28"/>
          <w:szCs w:val="28"/>
        </w:rPr>
        <w:t xml:space="preserve"> Inklusionsquote, die</w:t>
      </w:r>
      <w:r>
        <w:rPr>
          <w:sz w:val="28"/>
          <w:szCs w:val="28"/>
        </w:rPr>
        <w:t xml:space="preserve"> trotz der beschriebenen Bedenken als Ergänzung Berücksichtigung finden soll. </w:t>
      </w:r>
      <w:r w:rsidR="00E117EE">
        <w:rPr>
          <w:sz w:val="28"/>
          <w:szCs w:val="28"/>
        </w:rPr>
        <w:t>Die Grafik bildet die Regierungsbezirke in der Reihenfolge der mittleren Inklusionsquote (MW) ab. Die mittleren Inklusion</w:t>
      </w:r>
      <w:r w:rsidR="00E117EE" w:rsidRPr="00E117EE">
        <w:rPr>
          <w:sz w:val="28"/>
          <w:szCs w:val="28"/>
        </w:rPr>
        <w:t xml:space="preserve">squoten sind keine bloßen Momentaufnahmen. Sie setzen aus dem Durchschnitt von 12 Jahresmesswerten zusammen </w:t>
      </w:r>
      <w:r w:rsidR="00D14B35">
        <w:rPr>
          <w:sz w:val="28"/>
          <w:szCs w:val="28"/>
        </w:rPr>
        <w:t>und können deshalb eine relativ</w:t>
      </w:r>
      <w:r w:rsidR="00E117EE" w:rsidRPr="00E117EE">
        <w:rPr>
          <w:sz w:val="28"/>
          <w:szCs w:val="28"/>
        </w:rPr>
        <w:t xml:space="preserve"> verlässliche Auskunft darüber geben, in welchem Maße die Bezirke der inklusiven Idee grundsätzlich zugetan waren.</w:t>
      </w:r>
    </w:p>
    <w:p w:rsidR="00E117EE" w:rsidRDefault="00E117EE" w:rsidP="00C137E1">
      <w:pPr>
        <w:rPr>
          <w:sz w:val="28"/>
          <w:szCs w:val="28"/>
        </w:rPr>
      </w:pPr>
    </w:p>
    <w:p w:rsidR="00E117EE" w:rsidRDefault="00DA3215" w:rsidP="00E117EE">
      <w:pPr>
        <w:pStyle w:val="Listenabsatz"/>
        <w:numPr>
          <w:ilvl w:val="0"/>
          <w:numId w:val="7"/>
        </w:numPr>
        <w:rPr>
          <w:sz w:val="28"/>
          <w:szCs w:val="28"/>
        </w:rPr>
      </w:pPr>
      <w:r w:rsidRPr="00E117EE">
        <w:rPr>
          <w:sz w:val="28"/>
          <w:szCs w:val="28"/>
        </w:rPr>
        <w:t xml:space="preserve">Die oberen Ränge (1 und 2) mit recht hohen Inklusionsquoten belegen die Regierungsbezirke Oberpfalz und Niederbayern. </w:t>
      </w:r>
    </w:p>
    <w:p w:rsidR="00E117EE" w:rsidRDefault="00DA3215" w:rsidP="00E117EE">
      <w:pPr>
        <w:pStyle w:val="Listenabsatz"/>
        <w:numPr>
          <w:ilvl w:val="0"/>
          <w:numId w:val="7"/>
        </w:numPr>
        <w:rPr>
          <w:sz w:val="28"/>
          <w:szCs w:val="28"/>
        </w:rPr>
      </w:pPr>
      <w:r w:rsidRPr="00E117EE">
        <w:rPr>
          <w:sz w:val="28"/>
          <w:szCs w:val="28"/>
        </w:rPr>
        <w:t xml:space="preserve">Auf den letzten Rängen (6 und 7) mit </w:t>
      </w:r>
      <w:r w:rsidR="00A02087" w:rsidRPr="00E117EE">
        <w:rPr>
          <w:sz w:val="28"/>
          <w:szCs w:val="28"/>
        </w:rPr>
        <w:t>einer vergleichsweise schwachen Inklusionstendenz</w:t>
      </w:r>
      <w:r w:rsidRPr="00E117EE">
        <w:rPr>
          <w:sz w:val="28"/>
          <w:szCs w:val="28"/>
        </w:rPr>
        <w:t xml:space="preserve"> befinden sich die fränkischen Bezirke </w:t>
      </w:r>
      <w:r w:rsidRPr="00E117EE">
        <w:rPr>
          <w:i/>
          <w:sz w:val="28"/>
          <w:szCs w:val="28"/>
        </w:rPr>
        <w:t>Oberfranken</w:t>
      </w:r>
      <w:r w:rsidRPr="00E117EE">
        <w:rPr>
          <w:sz w:val="28"/>
          <w:szCs w:val="28"/>
        </w:rPr>
        <w:t xml:space="preserve"> und </w:t>
      </w:r>
      <w:r w:rsidRPr="00E117EE">
        <w:rPr>
          <w:i/>
          <w:sz w:val="28"/>
          <w:szCs w:val="28"/>
        </w:rPr>
        <w:t>Mittelfranken</w:t>
      </w:r>
      <w:r w:rsidRPr="00E117EE">
        <w:rPr>
          <w:sz w:val="28"/>
          <w:szCs w:val="28"/>
        </w:rPr>
        <w:t xml:space="preserve">. </w:t>
      </w:r>
    </w:p>
    <w:p w:rsidR="00D14B35" w:rsidRDefault="00DA3215" w:rsidP="00E117EE">
      <w:pPr>
        <w:pStyle w:val="Listenabsatz"/>
        <w:numPr>
          <w:ilvl w:val="0"/>
          <w:numId w:val="7"/>
        </w:numPr>
        <w:rPr>
          <w:sz w:val="28"/>
          <w:szCs w:val="28"/>
        </w:rPr>
      </w:pPr>
      <w:r w:rsidRPr="00E117EE">
        <w:rPr>
          <w:sz w:val="28"/>
          <w:szCs w:val="28"/>
        </w:rPr>
        <w:lastRenderedPageBreak/>
        <w:t xml:space="preserve">Das Mittelfeld (3, 4, 5) besiedeln </w:t>
      </w:r>
      <w:r w:rsidRPr="00E117EE">
        <w:rPr>
          <w:i/>
          <w:sz w:val="28"/>
          <w:szCs w:val="28"/>
        </w:rPr>
        <w:t>Unterfranken</w:t>
      </w:r>
      <w:r w:rsidRPr="00E117EE">
        <w:rPr>
          <w:sz w:val="28"/>
          <w:szCs w:val="28"/>
        </w:rPr>
        <w:t xml:space="preserve">, </w:t>
      </w:r>
      <w:r w:rsidRPr="00E117EE">
        <w:rPr>
          <w:i/>
          <w:sz w:val="28"/>
          <w:szCs w:val="28"/>
        </w:rPr>
        <w:t>Schwaben</w:t>
      </w:r>
      <w:r w:rsidRPr="00E117EE">
        <w:rPr>
          <w:sz w:val="28"/>
          <w:szCs w:val="28"/>
        </w:rPr>
        <w:t xml:space="preserve"> und </w:t>
      </w:r>
      <w:r w:rsidRPr="00E117EE">
        <w:rPr>
          <w:i/>
          <w:sz w:val="28"/>
          <w:szCs w:val="28"/>
        </w:rPr>
        <w:t>Oberbayern</w:t>
      </w:r>
      <w:r w:rsidRPr="00E117EE">
        <w:rPr>
          <w:sz w:val="28"/>
          <w:szCs w:val="28"/>
        </w:rPr>
        <w:t xml:space="preserve">. </w:t>
      </w:r>
    </w:p>
    <w:p w:rsidR="00E117EE" w:rsidRDefault="00D14B35" w:rsidP="00E117EE">
      <w:pPr>
        <w:pStyle w:val="Listenabsatz"/>
        <w:numPr>
          <w:ilvl w:val="0"/>
          <w:numId w:val="7"/>
        </w:numPr>
        <w:rPr>
          <w:sz w:val="28"/>
          <w:szCs w:val="28"/>
        </w:rPr>
      </w:pPr>
      <w:r>
        <w:rPr>
          <w:sz w:val="28"/>
          <w:szCs w:val="28"/>
        </w:rPr>
        <w:t>Zum Vergleich: Die Inklusionsquote beträgt in Bayern im Jahr 2008/09 0,9 Prozent und im Jahr 2018/19 1,9 Prozent. Für die gesamte BRD lauten die entsprechenden Start- und Endwerte 1,1 Prozent und 3,2 P</w:t>
      </w:r>
      <w:r w:rsidR="00D34C9C">
        <w:rPr>
          <w:sz w:val="28"/>
          <w:szCs w:val="28"/>
        </w:rPr>
        <w:t>rozent (Hollenbach-</w:t>
      </w:r>
      <w:proofErr w:type="spellStart"/>
      <w:r w:rsidR="00D34C9C">
        <w:rPr>
          <w:sz w:val="28"/>
          <w:szCs w:val="28"/>
        </w:rPr>
        <w:t>Biele</w:t>
      </w:r>
      <w:proofErr w:type="spellEnd"/>
      <w:r w:rsidR="00D34C9C">
        <w:rPr>
          <w:sz w:val="28"/>
          <w:szCs w:val="28"/>
        </w:rPr>
        <w:t xml:space="preserve"> /Klemm 2020, 37).</w:t>
      </w:r>
      <w:r w:rsidR="00E117EE">
        <w:rPr>
          <w:sz w:val="28"/>
          <w:szCs w:val="28"/>
        </w:rPr>
        <w:br/>
      </w:r>
    </w:p>
    <w:p w:rsidR="00094CBA" w:rsidRDefault="00E243D1" w:rsidP="00C137E1">
      <w:pPr>
        <w:rPr>
          <w:sz w:val="28"/>
          <w:szCs w:val="28"/>
        </w:rPr>
      </w:pPr>
      <w:r>
        <w:rPr>
          <w:sz w:val="28"/>
          <w:szCs w:val="28"/>
        </w:rPr>
        <w:t xml:space="preserve">Interessanter als das Ranking der Bezirke nach der mittleren Separationsquote ist allerdings der Blick auf die Startlinie 2008/09 und die Ziellinie 2019/20. In deutlichem Kontrast zu der beschriebenen Separationsentwicklung </w:t>
      </w:r>
      <w:r w:rsidR="00E117EE">
        <w:rPr>
          <w:sz w:val="28"/>
          <w:szCs w:val="28"/>
        </w:rPr>
        <w:t xml:space="preserve">(Abb. und Tab. 1) </w:t>
      </w:r>
      <w:r>
        <w:rPr>
          <w:sz w:val="28"/>
          <w:szCs w:val="28"/>
        </w:rPr>
        <w:t>liegen nun die beiden Linie</w:t>
      </w:r>
      <w:r w:rsidR="00E117EE">
        <w:rPr>
          <w:sz w:val="28"/>
          <w:szCs w:val="28"/>
        </w:rPr>
        <w:t>n</w:t>
      </w:r>
      <w:r>
        <w:rPr>
          <w:sz w:val="28"/>
          <w:szCs w:val="28"/>
        </w:rPr>
        <w:t xml:space="preserve"> ziemlich weit auseinander. Diese Differenz bedeutet: Während die Bezirke bezüglich der Separation eher auf der Stelle treten oder teilweise sogar noch die Separationstendenz steigern, </w:t>
      </w:r>
      <w:r w:rsidR="006730BF">
        <w:rPr>
          <w:sz w:val="28"/>
          <w:szCs w:val="28"/>
        </w:rPr>
        <w:t>engagieren sie sich in allgemeinen Schulen doch recht rege und bewirken durc</w:t>
      </w:r>
      <w:r w:rsidR="00E117EE">
        <w:rPr>
          <w:sz w:val="28"/>
          <w:szCs w:val="28"/>
        </w:rPr>
        <w:t>h eine forcierte Diagnose von sonderpädagogischen Förderbedarfen</w:t>
      </w:r>
      <w:r w:rsidR="006730BF">
        <w:rPr>
          <w:sz w:val="28"/>
          <w:szCs w:val="28"/>
        </w:rPr>
        <w:t xml:space="preserve"> eine kräftige Steigerung der Inklusionsquoten. Mit kritischer Zuspitzung formuliert: D</w:t>
      </w:r>
      <w:r w:rsidR="00F766D2">
        <w:rPr>
          <w:sz w:val="28"/>
          <w:szCs w:val="28"/>
        </w:rPr>
        <w:t>ie bayerische Inklusionsreform</w:t>
      </w:r>
      <w:r w:rsidR="006730BF">
        <w:rPr>
          <w:sz w:val="28"/>
          <w:szCs w:val="28"/>
        </w:rPr>
        <w:t xml:space="preserve"> lässt die Sonderschulen selbst weitestgehend unangetastet; die Sonderschulen Bayerns dürfen sich über eine sehr sichere Bestandserhaltung freuen, die mitunter sogar noch durch neue Zuwächse gestär</w:t>
      </w:r>
      <w:r w:rsidR="00D34C9C">
        <w:rPr>
          <w:sz w:val="28"/>
          <w:szCs w:val="28"/>
        </w:rPr>
        <w:t>kt wird. Aber die Sonderpädagogik ist</w:t>
      </w:r>
      <w:r w:rsidR="00F766D2">
        <w:rPr>
          <w:sz w:val="28"/>
          <w:szCs w:val="28"/>
        </w:rPr>
        <w:t xml:space="preserve"> sehr wohl bereit,</w:t>
      </w:r>
      <w:r w:rsidR="006730BF">
        <w:rPr>
          <w:sz w:val="28"/>
          <w:szCs w:val="28"/>
        </w:rPr>
        <w:t xml:space="preserve"> im Revier der allgemeinen Schulen</w:t>
      </w:r>
      <w:r w:rsidR="004746A7">
        <w:rPr>
          <w:sz w:val="28"/>
          <w:szCs w:val="28"/>
        </w:rPr>
        <w:t xml:space="preserve"> tätig zu werden, und das durchaus nicht zu ihrem Schaden. </w:t>
      </w:r>
    </w:p>
    <w:p w:rsidR="00094CBA" w:rsidRDefault="00094CBA" w:rsidP="00C137E1">
      <w:pPr>
        <w:rPr>
          <w:sz w:val="28"/>
          <w:szCs w:val="28"/>
        </w:rPr>
      </w:pPr>
    </w:p>
    <w:p w:rsidR="00A54949" w:rsidRDefault="00A54949" w:rsidP="00A54949">
      <w:pPr>
        <w:rPr>
          <w:sz w:val="28"/>
          <w:szCs w:val="28"/>
        </w:rPr>
      </w:pPr>
      <w:r>
        <w:rPr>
          <w:sz w:val="28"/>
          <w:szCs w:val="28"/>
        </w:rPr>
        <w:t>Zur R</w:t>
      </w:r>
      <w:r w:rsidR="00E117EE">
        <w:rPr>
          <w:sz w:val="28"/>
          <w:szCs w:val="28"/>
        </w:rPr>
        <w:t xml:space="preserve">eduktion der Datenkomplexität </w:t>
      </w:r>
      <w:r w:rsidR="00A02087">
        <w:rPr>
          <w:sz w:val="28"/>
          <w:szCs w:val="28"/>
        </w:rPr>
        <w:t>werden zusammenfassend</w:t>
      </w:r>
      <w:r w:rsidR="00E117EE">
        <w:rPr>
          <w:sz w:val="28"/>
          <w:szCs w:val="28"/>
        </w:rPr>
        <w:t xml:space="preserve"> und abschließend </w:t>
      </w:r>
      <w:r>
        <w:rPr>
          <w:sz w:val="28"/>
          <w:szCs w:val="28"/>
        </w:rPr>
        <w:t>die sieben Regierungsbezirke anhand der Merkmalsausprägungen für die</w:t>
      </w:r>
      <w:r w:rsidR="00D34C9C">
        <w:rPr>
          <w:sz w:val="28"/>
          <w:szCs w:val="28"/>
        </w:rPr>
        <w:t xml:space="preserve"> beiden </w:t>
      </w:r>
      <w:r>
        <w:rPr>
          <w:sz w:val="28"/>
          <w:szCs w:val="28"/>
        </w:rPr>
        <w:t>Variablen Inklusionsquote und Separationsquote in aussagekräftige Cluster gruppiert. Die</w:t>
      </w:r>
      <w:r w:rsidR="00675133">
        <w:rPr>
          <w:sz w:val="28"/>
          <w:szCs w:val="28"/>
        </w:rPr>
        <w:t xml:space="preserve"> Clusterbildung erfolgte in drei</w:t>
      </w:r>
      <w:r>
        <w:rPr>
          <w:sz w:val="28"/>
          <w:szCs w:val="28"/>
        </w:rPr>
        <w:t xml:space="preserve"> Schritten:</w:t>
      </w:r>
    </w:p>
    <w:p w:rsidR="00A54949" w:rsidRDefault="00A54949" w:rsidP="00A54949">
      <w:pPr>
        <w:rPr>
          <w:sz w:val="28"/>
          <w:szCs w:val="28"/>
        </w:rPr>
      </w:pPr>
    </w:p>
    <w:p w:rsidR="00A54949" w:rsidRPr="002061BB" w:rsidRDefault="00A54949" w:rsidP="00A54949">
      <w:pPr>
        <w:pStyle w:val="Listenabsatz"/>
        <w:numPr>
          <w:ilvl w:val="0"/>
          <w:numId w:val="3"/>
        </w:numPr>
        <w:rPr>
          <w:szCs w:val="24"/>
        </w:rPr>
      </w:pPr>
      <w:r w:rsidRPr="002061BB">
        <w:rPr>
          <w:szCs w:val="24"/>
        </w:rPr>
        <w:t xml:space="preserve">Bildung von Rangreihen für die </w:t>
      </w:r>
      <w:r>
        <w:rPr>
          <w:szCs w:val="24"/>
        </w:rPr>
        <w:t xml:space="preserve">mittlere </w:t>
      </w:r>
      <w:r w:rsidRPr="002061BB">
        <w:rPr>
          <w:szCs w:val="24"/>
        </w:rPr>
        <w:t>Inklusions- und Separationsquote</w:t>
      </w:r>
      <w:r>
        <w:rPr>
          <w:szCs w:val="24"/>
        </w:rPr>
        <w:t xml:space="preserve"> (Tab. </w:t>
      </w:r>
      <w:r w:rsidR="00094CBA">
        <w:rPr>
          <w:szCs w:val="24"/>
        </w:rPr>
        <w:t xml:space="preserve">1 und </w:t>
      </w:r>
      <w:r>
        <w:rPr>
          <w:szCs w:val="24"/>
        </w:rPr>
        <w:t>2)</w:t>
      </w:r>
    </w:p>
    <w:p w:rsidR="00A54949" w:rsidRPr="002061BB" w:rsidRDefault="00A54949" w:rsidP="00A54949">
      <w:pPr>
        <w:pStyle w:val="Listenabsatz"/>
        <w:numPr>
          <w:ilvl w:val="0"/>
          <w:numId w:val="3"/>
        </w:numPr>
        <w:rPr>
          <w:szCs w:val="24"/>
        </w:rPr>
      </w:pPr>
      <w:r w:rsidRPr="002061BB">
        <w:rPr>
          <w:szCs w:val="24"/>
        </w:rPr>
        <w:t>Unterteilung der Regierungsbezirke in drei Gruppen, jeweils getrennt für die Inklusions- und Separationsquote. Die beiden Erstplatzierten bilden jeweils die obere Gruppe, die beiden Letztpla</w:t>
      </w:r>
      <w:r>
        <w:rPr>
          <w:szCs w:val="24"/>
        </w:rPr>
        <w:t>t</w:t>
      </w:r>
      <w:r w:rsidRPr="002061BB">
        <w:rPr>
          <w:szCs w:val="24"/>
        </w:rPr>
        <w:t>zierten die untere Gruppe und die mittleren drei Regierungsbezirke die mittlere Gruppe.</w:t>
      </w:r>
    </w:p>
    <w:p w:rsidR="00675133" w:rsidRDefault="00A54949" w:rsidP="00A54949">
      <w:pPr>
        <w:pStyle w:val="Listenabsatz"/>
        <w:numPr>
          <w:ilvl w:val="0"/>
          <w:numId w:val="3"/>
        </w:numPr>
        <w:rPr>
          <w:szCs w:val="24"/>
        </w:rPr>
      </w:pPr>
      <w:r w:rsidRPr="002061BB">
        <w:rPr>
          <w:szCs w:val="24"/>
        </w:rPr>
        <w:t xml:space="preserve">Bildung einer Kreuztabelle mit den Achsen </w:t>
      </w:r>
      <w:r w:rsidR="00094CBA">
        <w:rPr>
          <w:szCs w:val="24"/>
        </w:rPr>
        <w:t>Separationsquote und Inklusion</w:t>
      </w:r>
      <w:r w:rsidR="00675133">
        <w:rPr>
          <w:szCs w:val="24"/>
        </w:rPr>
        <w:t>s</w:t>
      </w:r>
      <w:r w:rsidR="00094CBA">
        <w:rPr>
          <w:szCs w:val="24"/>
        </w:rPr>
        <w:t>quote.</w:t>
      </w:r>
    </w:p>
    <w:p w:rsidR="00B633E1" w:rsidRDefault="00B633E1" w:rsidP="00675133">
      <w:pPr>
        <w:rPr>
          <w:szCs w:val="24"/>
        </w:rPr>
      </w:pPr>
    </w:p>
    <w:p w:rsidR="00A54949" w:rsidRDefault="00A54949" w:rsidP="00675133">
      <w:pPr>
        <w:rPr>
          <w:szCs w:val="24"/>
        </w:rPr>
      </w:pPr>
    </w:p>
    <w:tbl>
      <w:tblPr>
        <w:tblStyle w:val="Tabellenraster"/>
        <w:tblW w:w="0" w:type="auto"/>
        <w:tblLook w:val="04A0" w:firstRow="1" w:lastRow="0" w:firstColumn="1" w:lastColumn="0" w:noHBand="0" w:noVBand="1"/>
      </w:tblPr>
      <w:tblGrid>
        <w:gridCol w:w="2266"/>
        <w:gridCol w:w="2264"/>
        <w:gridCol w:w="2265"/>
        <w:gridCol w:w="2265"/>
      </w:tblGrid>
      <w:tr w:rsidR="006D3D31" w:rsidTr="001C59DA">
        <w:tc>
          <w:tcPr>
            <w:tcW w:w="2266" w:type="dxa"/>
          </w:tcPr>
          <w:p w:rsidR="006D3D31" w:rsidRPr="006D3D31" w:rsidRDefault="006D3D31" w:rsidP="008A2471">
            <w:pPr>
              <w:rPr>
                <w:rFonts w:asciiTheme="minorHAnsi" w:hAnsiTheme="minorHAnsi" w:cstheme="minorHAnsi"/>
                <w:sz w:val="28"/>
                <w:szCs w:val="28"/>
              </w:rPr>
            </w:pPr>
          </w:p>
        </w:tc>
        <w:tc>
          <w:tcPr>
            <w:tcW w:w="6794" w:type="dxa"/>
            <w:gridSpan w:val="3"/>
          </w:tcPr>
          <w:p w:rsidR="006D3D31" w:rsidRPr="00A2395E" w:rsidRDefault="00094CBA" w:rsidP="006D3D31">
            <w:pPr>
              <w:jc w:val="center"/>
              <w:rPr>
                <w:rFonts w:asciiTheme="minorHAnsi" w:hAnsiTheme="minorHAnsi" w:cstheme="minorHAnsi"/>
                <w:b/>
                <w:sz w:val="28"/>
                <w:szCs w:val="28"/>
              </w:rPr>
            </w:pPr>
            <w:r>
              <w:rPr>
                <w:rFonts w:asciiTheme="minorHAnsi" w:hAnsiTheme="minorHAnsi" w:cstheme="minorHAnsi"/>
                <w:b/>
                <w:sz w:val="28"/>
                <w:szCs w:val="28"/>
              </w:rPr>
              <w:t>Inklusionsquote</w:t>
            </w:r>
          </w:p>
        </w:tc>
      </w:tr>
      <w:tr w:rsidR="006D3D31" w:rsidTr="001C59DA">
        <w:tc>
          <w:tcPr>
            <w:tcW w:w="2266" w:type="dxa"/>
          </w:tcPr>
          <w:p w:rsidR="006D3D31" w:rsidRPr="00A2395E" w:rsidRDefault="006D3D31" w:rsidP="008A2471">
            <w:pPr>
              <w:rPr>
                <w:rFonts w:asciiTheme="minorHAnsi" w:hAnsiTheme="minorHAnsi" w:cstheme="minorHAnsi"/>
                <w:b/>
                <w:sz w:val="28"/>
                <w:szCs w:val="28"/>
              </w:rPr>
            </w:pPr>
            <w:r w:rsidRPr="00A2395E">
              <w:rPr>
                <w:rFonts w:asciiTheme="minorHAnsi" w:hAnsiTheme="minorHAnsi" w:cstheme="minorHAnsi"/>
                <w:b/>
                <w:sz w:val="28"/>
                <w:szCs w:val="28"/>
              </w:rPr>
              <w:t>Exklusion</w:t>
            </w:r>
            <w:r w:rsidR="00A2395E" w:rsidRPr="00A2395E">
              <w:rPr>
                <w:rFonts w:asciiTheme="minorHAnsi" w:hAnsiTheme="minorHAnsi" w:cstheme="minorHAnsi"/>
                <w:b/>
                <w:sz w:val="28"/>
                <w:szCs w:val="28"/>
              </w:rPr>
              <w:t>s</w:t>
            </w:r>
            <w:r w:rsidRPr="00A2395E">
              <w:rPr>
                <w:rFonts w:asciiTheme="minorHAnsi" w:hAnsiTheme="minorHAnsi" w:cstheme="minorHAnsi"/>
                <w:b/>
                <w:sz w:val="28"/>
                <w:szCs w:val="28"/>
              </w:rPr>
              <w:t>quote</w:t>
            </w:r>
          </w:p>
        </w:tc>
        <w:tc>
          <w:tcPr>
            <w:tcW w:w="2264" w:type="dxa"/>
          </w:tcPr>
          <w:p w:rsidR="006D3D31" w:rsidRPr="006D3D31" w:rsidRDefault="006D3D31" w:rsidP="008A2471">
            <w:pPr>
              <w:rPr>
                <w:rFonts w:asciiTheme="minorHAnsi" w:hAnsiTheme="minorHAnsi" w:cstheme="minorHAnsi"/>
                <w:sz w:val="28"/>
                <w:szCs w:val="28"/>
              </w:rPr>
            </w:pPr>
            <w:r w:rsidRPr="006D3D31">
              <w:rPr>
                <w:rFonts w:asciiTheme="minorHAnsi" w:hAnsiTheme="minorHAnsi" w:cstheme="minorHAnsi"/>
                <w:sz w:val="28"/>
                <w:szCs w:val="28"/>
              </w:rPr>
              <w:t>&gt; hoch</w:t>
            </w:r>
            <w:r w:rsidR="00A2395E">
              <w:rPr>
                <w:rFonts w:asciiTheme="minorHAnsi" w:hAnsiTheme="minorHAnsi" w:cstheme="minorHAnsi"/>
                <w:sz w:val="28"/>
                <w:szCs w:val="28"/>
              </w:rPr>
              <w:t xml:space="preserve"> (1,2)</w:t>
            </w:r>
          </w:p>
        </w:tc>
        <w:tc>
          <w:tcPr>
            <w:tcW w:w="2265" w:type="dxa"/>
          </w:tcPr>
          <w:p w:rsidR="006D3D31" w:rsidRPr="006D3D31" w:rsidRDefault="006D3D31" w:rsidP="008A2471">
            <w:pPr>
              <w:rPr>
                <w:rFonts w:asciiTheme="minorHAnsi" w:hAnsiTheme="minorHAnsi" w:cstheme="minorHAnsi"/>
                <w:sz w:val="28"/>
                <w:szCs w:val="28"/>
              </w:rPr>
            </w:pPr>
            <w:r>
              <w:rPr>
                <w:rFonts w:asciiTheme="minorHAnsi" w:hAnsiTheme="minorHAnsi" w:cstheme="minorHAnsi"/>
                <w:sz w:val="28"/>
                <w:szCs w:val="28"/>
              </w:rPr>
              <w:t>Ꝋ m</w:t>
            </w:r>
            <w:r w:rsidRPr="006D3D31">
              <w:rPr>
                <w:rFonts w:asciiTheme="minorHAnsi" w:hAnsiTheme="minorHAnsi" w:cstheme="minorHAnsi"/>
                <w:sz w:val="28"/>
                <w:szCs w:val="28"/>
              </w:rPr>
              <w:t>ittel</w:t>
            </w:r>
            <w:r w:rsidR="00A2395E">
              <w:rPr>
                <w:rFonts w:asciiTheme="minorHAnsi" w:hAnsiTheme="minorHAnsi" w:cstheme="minorHAnsi"/>
                <w:sz w:val="28"/>
                <w:szCs w:val="28"/>
              </w:rPr>
              <w:t xml:space="preserve"> (3,4,5)</w:t>
            </w:r>
          </w:p>
        </w:tc>
        <w:tc>
          <w:tcPr>
            <w:tcW w:w="2265" w:type="dxa"/>
          </w:tcPr>
          <w:p w:rsidR="006D3D31" w:rsidRPr="006D3D31" w:rsidRDefault="006D3D31" w:rsidP="008A2471">
            <w:pPr>
              <w:rPr>
                <w:rFonts w:asciiTheme="minorHAnsi" w:hAnsiTheme="minorHAnsi" w:cstheme="minorHAnsi"/>
                <w:sz w:val="28"/>
                <w:szCs w:val="28"/>
              </w:rPr>
            </w:pPr>
            <w:r w:rsidRPr="006D3D31">
              <w:rPr>
                <w:rFonts w:asciiTheme="minorHAnsi" w:hAnsiTheme="minorHAnsi" w:cstheme="minorHAnsi"/>
                <w:sz w:val="28"/>
                <w:szCs w:val="28"/>
              </w:rPr>
              <w:t>&lt; niedrig</w:t>
            </w:r>
            <w:r w:rsidR="00A2395E">
              <w:rPr>
                <w:rFonts w:asciiTheme="minorHAnsi" w:hAnsiTheme="minorHAnsi" w:cstheme="minorHAnsi"/>
                <w:sz w:val="28"/>
                <w:szCs w:val="28"/>
              </w:rPr>
              <w:t xml:space="preserve"> (6,7)</w:t>
            </w:r>
          </w:p>
        </w:tc>
      </w:tr>
      <w:tr w:rsidR="006D3D31" w:rsidTr="001C59DA">
        <w:tc>
          <w:tcPr>
            <w:tcW w:w="2266" w:type="dxa"/>
          </w:tcPr>
          <w:p w:rsidR="006D3D31" w:rsidRPr="006D3D31" w:rsidRDefault="006D3D31" w:rsidP="008A2471">
            <w:pPr>
              <w:rPr>
                <w:rFonts w:asciiTheme="minorHAnsi" w:hAnsiTheme="minorHAnsi" w:cstheme="minorHAnsi"/>
                <w:sz w:val="28"/>
                <w:szCs w:val="28"/>
              </w:rPr>
            </w:pPr>
            <w:r w:rsidRPr="006D3D31">
              <w:rPr>
                <w:rFonts w:asciiTheme="minorHAnsi" w:hAnsiTheme="minorHAnsi" w:cstheme="minorHAnsi"/>
                <w:sz w:val="28"/>
                <w:szCs w:val="28"/>
              </w:rPr>
              <w:t>&lt; niedrig</w:t>
            </w:r>
            <w:r w:rsidR="00A2395E">
              <w:rPr>
                <w:rFonts w:asciiTheme="minorHAnsi" w:hAnsiTheme="minorHAnsi" w:cstheme="minorHAnsi"/>
                <w:sz w:val="28"/>
                <w:szCs w:val="28"/>
              </w:rPr>
              <w:t xml:space="preserve"> (1,2)</w:t>
            </w:r>
          </w:p>
        </w:tc>
        <w:tc>
          <w:tcPr>
            <w:tcW w:w="2264" w:type="dxa"/>
            <w:shd w:val="clear" w:color="auto" w:fill="F2F2F2" w:themeFill="background1" w:themeFillShade="F2"/>
          </w:tcPr>
          <w:p w:rsidR="006D3D31" w:rsidRPr="006D3D31" w:rsidRDefault="00675133" w:rsidP="008A2471">
            <w:pPr>
              <w:rPr>
                <w:rFonts w:asciiTheme="minorHAnsi" w:hAnsiTheme="minorHAnsi" w:cstheme="minorHAnsi"/>
                <w:sz w:val="28"/>
                <w:szCs w:val="28"/>
              </w:rPr>
            </w:pPr>
            <w:r>
              <w:rPr>
                <w:rFonts w:asciiTheme="minorHAnsi" w:hAnsiTheme="minorHAnsi" w:cstheme="minorHAnsi"/>
                <w:sz w:val="28"/>
                <w:szCs w:val="28"/>
              </w:rPr>
              <w:t>Oberpfalz</w:t>
            </w:r>
          </w:p>
        </w:tc>
        <w:tc>
          <w:tcPr>
            <w:tcW w:w="2265" w:type="dxa"/>
            <w:shd w:val="clear" w:color="auto" w:fill="F2F2F2" w:themeFill="background1" w:themeFillShade="F2"/>
          </w:tcPr>
          <w:p w:rsidR="006D3D31" w:rsidRPr="006D3D31" w:rsidRDefault="00675133" w:rsidP="008A2471">
            <w:pPr>
              <w:rPr>
                <w:rFonts w:asciiTheme="minorHAnsi" w:hAnsiTheme="minorHAnsi" w:cstheme="minorHAnsi"/>
                <w:sz w:val="28"/>
                <w:szCs w:val="28"/>
              </w:rPr>
            </w:pPr>
            <w:r>
              <w:rPr>
                <w:rFonts w:asciiTheme="minorHAnsi" w:hAnsiTheme="minorHAnsi" w:cstheme="minorHAnsi"/>
                <w:sz w:val="28"/>
                <w:szCs w:val="28"/>
              </w:rPr>
              <w:t>Oberbayern</w:t>
            </w:r>
          </w:p>
        </w:tc>
        <w:tc>
          <w:tcPr>
            <w:tcW w:w="2265" w:type="dxa"/>
          </w:tcPr>
          <w:p w:rsidR="006D3D31" w:rsidRPr="006D3D31" w:rsidRDefault="006D3D31" w:rsidP="008A2471">
            <w:pPr>
              <w:rPr>
                <w:rFonts w:asciiTheme="minorHAnsi" w:hAnsiTheme="minorHAnsi" w:cstheme="minorHAnsi"/>
                <w:sz w:val="28"/>
                <w:szCs w:val="28"/>
              </w:rPr>
            </w:pPr>
          </w:p>
        </w:tc>
      </w:tr>
      <w:tr w:rsidR="006D3D31" w:rsidTr="00E117EE">
        <w:tc>
          <w:tcPr>
            <w:tcW w:w="2266" w:type="dxa"/>
          </w:tcPr>
          <w:p w:rsidR="006D3D31" w:rsidRPr="006D3D31" w:rsidRDefault="006D3D31" w:rsidP="008A2471">
            <w:pPr>
              <w:rPr>
                <w:rFonts w:asciiTheme="minorHAnsi" w:hAnsiTheme="minorHAnsi" w:cstheme="minorHAnsi"/>
                <w:sz w:val="28"/>
                <w:szCs w:val="28"/>
              </w:rPr>
            </w:pPr>
            <w:r>
              <w:rPr>
                <w:rFonts w:asciiTheme="minorHAnsi" w:hAnsiTheme="minorHAnsi" w:cstheme="minorHAnsi"/>
                <w:sz w:val="28"/>
                <w:szCs w:val="28"/>
              </w:rPr>
              <w:t xml:space="preserve">Ꝋ </w:t>
            </w:r>
            <w:r w:rsidRPr="006D3D31">
              <w:rPr>
                <w:rFonts w:asciiTheme="minorHAnsi" w:hAnsiTheme="minorHAnsi" w:cstheme="minorHAnsi"/>
                <w:sz w:val="28"/>
                <w:szCs w:val="28"/>
              </w:rPr>
              <w:t>mittel</w:t>
            </w:r>
            <w:r w:rsidR="00A2395E">
              <w:rPr>
                <w:rFonts w:asciiTheme="minorHAnsi" w:hAnsiTheme="minorHAnsi" w:cstheme="minorHAnsi"/>
                <w:sz w:val="28"/>
                <w:szCs w:val="28"/>
              </w:rPr>
              <w:t xml:space="preserve"> (3,4,5)</w:t>
            </w:r>
          </w:p>
        </w:tc>
        <w:tc>
          <w:tcPr>
            <w:tcW w:w="2264" w:type="dxa"/>
            <w:shd w:val="clear" w:color="auto" w:fill="F2F2F2" w:themeFill="background1" w:themeFillShade="F2"/>
          </w:tcPr>
          <w:p w:rsidR="006D3D31" w:rsidRPr="006D3D31" w:rsidRDefault="00675133" w:rsidP="008A2471">
            <w:pPr>
              <w:rPr>
                <w:rFonts w:asciiTheme="minorHAnsi" w:hAnsiTheme="minorHAnsi" w:cstheme="minorHAnsi"/>
                <w:sz w:val="28"/>
                <w:szCs w:val="28"/>
              </w:rPr>
            </w:pPr>
            <w:r>
              <w:rPr>
                <w:rFonts w:asciiTheme="minorHAnsi" w:hAnsiTheme="minorHAnsi" w:cstheme="minorHAnsi"/>
                <w:sz w:val="28"/>
                <w:szCs w:val="28"/>
              </w:rPr>
              <w:t>Niederbayern</w:t>
            </w:r>
          </w:p>
        </w:tc>
        <w:tc>
          <w:tcPr>
            <w:tcW w:w="2265" w:type="dxa"/>
          </w:tcPr>
          <w:p w:rsidR="006D3D31" w:rsidRPr="006D3D31" w:rsidRDefault="00675133" w:rsidP="008A2471">
            <w:pPr>
              <w:rPr>
                <w:rFonts w:asciiTheme="minorHAnsi" w:hAnsiTheme="minorHAnsi" w:cstheme="minorHAnsi"/>
                <w:sz w:val="28"/>
                <w:szCs w:val="28"/>
              </w:rPr>
            </w:pPr>
            <w:r>
              <w:rPr>
                <w:rFonts w:asciiTheme="minorHAnsi" w:hAnsiTheme="minorHAnsi" w:cstheme="minorHAnsi"/>
                <w:sz w:val="28"/>
                <w:szCs w:val="28"/>
              </w:rPr>
              <w:t>Schwaben</w:t>
            </w:r>
          </w:p>
        </w:tc>
        <w:tc>
          <w:tcPr>
            <w:tcW w:w="2265" w:type="dxa"/>
            <w:shd w:val="clear" w:color="auto" w:fill="F2F2F2" w:themeFill="background1" w:themeFillShade="F2"/>
          </w:tcPr>
          <w:p w:rsidR="006D3D31" w:rsidRPr="006D3D31" w:rsidRDefault="00675133" w:rsidP="008A2471">
            <w:pPr>
              <w:rPr>
                <w:rFonts w:asciiTheme="minorHAnsi" w:hAnsiTheme="minorHAnsi" w:cstheme="minorHAnsi"/>
                <w:sz w:val="28"/>
                <w:szCs w:val="28"/>
              </w:rPr>
            </w:pPr>
            <w:r>
              <w:rPr>
                <w:rFonts w:asciiTheme="minorHAnsi" w:hAnsiTheme="minorHAnsi" w:cstheme="minorHAnsi"/>
                <w:sz w:val="28"/>
                <w:szCs w:val="28"/>
              </w:rPr>
              <w:t>Oberfranken</w:t>
            </w:r>
          </w:p>
        </w:tc>
      </w:tr>
      <w:tr w:rsidR="006D3D31" w:rsidTr="00E117EE">
        <w:tc>
          <w:tcPr>
            <w:tcW w:w="2266" w:type="dxa"/>
          </w:tcPr>
          <w:p w:rsidR="006D3D31" w:rsidRPr="006D3D31" w:rsidRDefault="006D3D31" w:rsidP="008A2471">
            <w:pPr>
              <w:rPr>
                <w:rFonts w:asciiTheme="minorHAnsi" w:hAnsiTheme="minorHAnsi" w:cstheme="minorHAnsi"/>
                <w:sz w:val="28"/>
                <w:szCs w:val="28"/>
              </w:rPr>
            </w:pPr>
            <w:r w:rsidRPr="006D3D31">
              <w:rPr>
                <w:rFonts w:asciiTheme="minorHAnsi" w:hAnsiTheme="minorHAnsi" w:cstheme="minorHAnsi"/>
                <w:sz w:val="28"/>
                <w:szCs w:val="28"/>
              </w:rPr>
              <w:t>&gt; hoch</w:t>
            </w:r>
            <w:r w:rsidR="00A2395E">
              <w:rPr>
                <w:rFonts w:asciiTheme="minorHAnsi" w:hAnsiTheme="minorHAnsi" w:cstheme="minorHAnsi"/>
                <w:sz w:val="28"/>
                <w:szCs w:val="28"/>
              </w:rPr>
              <w:t xml:space="preserve"> (6,7)</w:t>
            </w:r>
          </w:p>
        </w:tc>
        <w:tc>
          <w:tcPr>
            <w:tcW w:w="2264" w:type="dxa"/>
          </w:tcPr>
          <w:p w:rsidR="006D3D31" w:rsidRPr="006D3D31" w:rsidRDefault="006D3D31" w:rsidP="008A2471">
            <w:pPr>
              <w:rPr>
                <w:rFonts w:asciiTheme="minorHAnsi" w:hAnsiTheme="minorHAnsi" w:cstheme="minorHAnsi"/>
                <w:sz w:val="28"/>
                <w:szCs w:val="28"/>
              </w:rPr>
            </w:pPr>
          </w:p>
        </w:tc>
        <w:tc>
          <w:tcPr>
            <w:tcW w:w="2265" w:type="dxa"/>
            <w:shd w:val="clear" w:color="auto" w:fill="F2F2F2" w:themeFill="background1" w:themeFillShade="F2"/>
          </w:tcPr>
          <w:p w:rsidR="006D3D31" w:rsidRPr="006D3D31" w:rsidRDefault="00675133" w:rsidP="008A2471">
            <w:pPr>
              <w:rPr>
                <w:rFonts w:asciiTheme="minorHAnsi" w:hAnsiTheme="minorHAnsi" w:cstheme="minorHAnsi"/>
                <w:sz w:val="28"/>
                <w:szCs w:val="28"/>
              </w:rPr>
            </w:pPr>
            <w:r>
              <w:rPr>
                <w:rFonts w:asciiTheme="minorHAnsi" w:hAnsiTheme="minorHAnsi" w:cstheme="minorHAnsi"/>
                <w:sz w:val="28"/>
                <w:szCs w:val="28"/>
              </w:rPr>
              <w:t>Unterfranken</w:t>
            </w:r>
          </w:p>
        </w:tc>
        <w:tc>
          <w:tcPr>
            <w:tcW w:w="2265" w:type="dxa"/>
            <w:shd w:val="clear" w:color="auto" w:fill="F2F2F2" w:themeFill="background1" w:themeFillShade="F2"/>
          </w:tcPr>
          <w:p w:rsidR="006D3D31" w:rsidRPr="006D3D31" w:rsidRDefault="00675133" w:rsidP="008A2471">
            <w:pPr>
              <w:rPr>
                <w:rFonts w:asciiTheme="minorHAnsi" w:hAnsiTheme="minorHAnsi" w:cstheme="minorHAnsi"/>
                <w:sz w:val="28"/>
                <w:szCs w:val="28"/>
              </w:rPr>
            </w:pPr>
            <w:r>
              <w:rPr>
                <w:rFonts w:asciiTheme="minorHAnsi" w:hAnsiTheme="minorHAnsi" w:cstheme="minorHAnsi"/>
                <w:sz w:val="28"/>
                <w:szCs w:val="28"/>
              </w:rPr>
              <w:t>Mittelfranken</w:t>
            </w:r>
          </w:p>
        </w:tc>
      </w:tr>
    </w:tbl>
    <w:p w:rsidR="00A2395E" w:rsidRDefault="00A2395E" w:rsidP="008A2471">
      <w:pPr>
        <w:rPr>
          <w:sz w:val="28"/>
          <w:szCs w:val="28"/>
        </w:rPr>
      </w:pPr>
    </w:p>
    <w:p w:rsidR="003E5294" w:rsidRDefault="00675133" w:rsidP="008A2471">
      <w:pPr>
        <w:rPr>
          <w:sz w:val="28"/>
          <w:szCs w:val="28"/>
        </w:rPr>
      </w:pPr>
      <w:r>
        <w:rPr>
          <w:sz w:val="28"/>
          <w:szCs w:val="28"/>
        </w:rPr>
        <w:lastRenderedPageBreak/>
        <w:t>Tab. 3</w:t>
      </w:r>
      <w:r w:rsidR="00A2395E">
        <w:rPr>
          <w:sz w:val="28"/>
          <w:szCs w:val="28"/>
        </w:rPr>
        <w:t>: Kreuzklassifikation der bayerischen Regierungsbezirke nach den Merkmalen „Exklusionsquote“ und „Inklusionsquote“</w:t>
      </w:r>
    </w:p>
    <w:p w:rsidR="001C59DA" w:rsidRDefault="001C59DA" w:rsidP="008A2471">
      <w:pPr>
        <w:rPr>
          <w:sz w:val="28"/>
          <w:szCs w:val="28"/>
        </w:rPr>
      </w:pPr>
    </w:p>
    <w:p w:rsidR="00F766D2" w:rsidRDefault="001C59DA" w:rsidP="001C59DA">
      <w:pPr>
        <w:rPr>
          <w:sz w:val="28"/>
          <w:szCs w:val="28"/>
        </w:rPr>
      </w:pPr>
      <w:r>
        <w:rPr>
          <w:sz w:val="28"/>
          <w:szCs w:val="28"/>
        </w:rPr>
        <w:t>Das Resultat der Clusterbildung gibt die Tabelle 3 wieder.</w:t>
      </w:r>
      <w:r w:rsidR="00F766D2">
        <w:rPr>
          <w:sz w:val="28"/>
          <w:szCs w:val="28"/>
        </w:rPr>
        <w:t xml:space="preserve"> Die</w:t>
      </w:r>
      <w:r>
        <w:rPr>
          <w:sz w:val="28"/>
          <w:szCs w:val="28"/>
        </w:rPr>
        <w:t xml:space="preserve"> Kreuzklassifikation der bayerischen Regierungsbezirke nach den Merkmalen „Exklusionsquote“ und „Inklusionsquote“ präsentiert keine neuen und überraschenden Erkenntnisse, sondern bündelt die bisherigen Analysen zu einer kompakten Aussage. Das gesamte Bewerberfeld der bayerischen Regierungsbezirke lässt sich recht klar in drei unterscheidbare Q</w:t>
      </w:r>
      <w:r w:rsidR="00F766D2">
        <w:rPr>
          <w:sz w:val="28"/>
          <w:szCs w:val="28"/>
        </w:rPr>
        <w:t>ualitätsstufen gliedern:</w:t>
      </w:r>
      <w:r>
        <w:rPr>
          <w:sz w:val="28"/>
          <w:szCs w:val="28"/>
        </w:rPr>
        <w:t xml:space="preserve"> </w:t>
      </w:r>
    </w:p>
    <w:p w:rsidR="00F766D2" w:rsidRDefault="00F766D2" w:rsidP="001C59DA">
      <w:pPr>
        <w:rPr>
          <w:sz w:val="28"/>
          <w:szCs w:val="28"/>
        </w:rPr>
      </w:pPr>
    </w:p>
    <w:p w:rsidR="00F766D2" w:rsidRDefault="001C59DA" w:rsidP="00E117EE">
      <w:pPr>
        <w:pStyle w:val="Listenabsatz"/>
        <w:numPr>
          <w:ilvl w:val="0"/>
          <w:numId w:val="6"/>
        </w:numPr>
        <w:rPr>
          <w:sz w:val="28"/>
          <w:szCs w:val="28"/>
        </w:rPr>
      </w:pPr>
      <w:r w:rsidRPr="00F766D2">
        <w:rPr>
          <w:sz w:val="28"/>
          <w:szCs w:val="28"/>
        </w:rPr>
        <w:t xml:space="preserve">Die besten Plätze in dem Bewerberfeld belegen die Bezirke </w:t>
      </w:r>
      <w:r w:rsidRPr="00F766D2">
        <w:rPr>
          <w:i/>
          <w:sz w:val="28"/>
          <w:szCs w:val="28"/>
        </w:rPr>
        <w:t>Oberpfalz, Oberbayern und Niederbayern.</w:t>
      </w:r>
      <w:r w:rsidRPr="00F766D2">
        <w:rPr>
          <w:sz w:val="28"/>
          <w:szCs w:val="28"/>
        </w:rPr>
        <w:t xml:space="preserve"> Auch wenn diesen drei Bezirke</w:t>
      </w:r>
      <w:r w:rsidR="00E117EE">
        <w:rPr>
          <w:sz w:val="28"/>
          <w:szCs w:val="28"/>
        </w:rPr>
        <w:t>n</w:t>
      </w:r>
      <w:r w:rsidRPr="00F766D2">
        <w:rPr>
          <w:sz w:val="28"/>
          <w:szCs w:val="28"/>
        </w:rPr>
        <w:t xml:space="preserve"> mit wertschätzender Anerkennung die Krone angetragen wird, bedeutet dies nicht unbedingt, dass ihre schulische Inklusionsentwicklung </w:t>
      </w:r>
      <w:r w:rsidR="00EB17B2" w:rsidRPr="00F766D2">
        <w:rPr>
          <w:sz w:val="28"/>
          <w:szCs w:val="28"/>
        </w:rPr>
        <w:t>vorbildlich und ohne allen Tadel wäre. Aber sie liegen halt im Vergleich deutlich vorne.</w:t>
      </w:r>
    </w:p>
    <w:p w:rsidR="00F766D2" w:rsidRDefault="00EB17B2" w:rsidP="00E117EE">
      <w:pPr>
        <w:pStyle w:val="Listenabsatz"/>
        <w:numPr>
          <w:ilvl w:val="0"/>
          <w:numId w:val="6"/>
        </w:numPr>
        <w:rPr>
          <w:sz w:val="28"/>
          <w:szCs w:val="28"/>
        </w:rPr>
      </w:pPr>
      <w:r w:rsidRPr="00F766D2">
        <w:rPr>
          <w:sz w:val="28"/>
          <w:szCs w:val="28"/>
        </w:rPr>
        <w:t xml:space="preserve">Das Schlusslicht bilden die Regierungsbezirke </w:t>
      </w:r>
      <w:r w:rsidRPr="00F766D2">
        <w:rPr>
          <w:i/>
          <w:sz w:val="28"/>
          <w:szCs w:val="28"/>
        </w:rPr>
        <w:t>Oberfranken, Unterfranken</w:t>
      </w:r>
      <w:r w:rsidRPr="00F766D2">
        <w:rPr>
          <w:sz w:val="28"/>
          <w:szCs w:val="28"/>
        </w:rPr>
        <w:t xml:space="preserve"> und </w:t>
      </w:r>
      <w:r w:rsidRPr="00F766D2">
        <w:rPr>
          <w:i/>
          <w:sz w:val="28"/>
          <w:szCs w:val="28"/>
        </w:rPr>
        <w:t>Mittelfranken</w:t>
      </w:r>
      <w:r w:rsidRPr="00F766D2">
        <w:rPr>
          <w:sz w:val="28"/>
          <w:szCs w:val="28"/>
        </w:rPr>
        <w:t>. Das zentrale Manko der fränkischen Bezirke ist das dominante Interesse an einer ungeschmäl</w:t>
      </w:r>
      <w:r w:rsidR="001A62C3" w:rsidRPr="00F766D2">
        <w:rPr>
          <w:sz w:val="28"/>
          <w:szCs w:val="28"/>
        </w:rPr>
        <w:t>er</w:t>
      </w:r>
      <w:r w:rsidRPr="00F766D2">
        <w:rPr>
          <w:sz w:val="28"/>
          <w:szCs w:val="28"/>
        </w:rPr>
        <w:t>ten Erhaltung der Sonderschulen, und das in Verbindung mit einer recht zögerlichen Reserve gegenüber allen inklusiven Tendenzen.</w:t>
      </w:r>
    </w:p>
    <w:p w:rsidR="00EB17B2" w:rsidRPr="00F766D2" w:rsidRDefault="00817AF5" w:rsidP="00E117EE">
      <w:pPr>
        <w:pStyle w:val="Listenabsatz"/>
        <w:numPr>
          <w:ilvl w:val="0"/>
          <w:numId w:val="6"/>
        </w:numPr>
        <w:rPr>
          <w:sz w:val="28"/>
          <w:szCs w:val="28"/>
        </w:rPr>
      </w:pPr>
      <w:r w:rsidRPr="00F766D2">
        <w:rPr>
          <w:sz w:val="28"/>
          <w:szCs w:val="28"/>
        </w:rPr>
        <w:t xml:space="preserve">Mittendrin zwischen den beiden Enden haben die </w:t>
      </w:r>
      <w:r w:rsidRPr="00F766D2">
        <w:rPr>
          <w:i/>
          <w:sz w:val="28"/>
          <w:szCs w:val="28"/>
        </w:rPr>
        <w:t>Schwaben</w:t>
      </w:r>
      <w:r w:rsidRPr="00F766D2">
        <w:rPr>
          <w:sz w:val="28"/>
          <w:szCs w:val="28"/>
        </w:rPr>
        <w:t xml:space="preserve"> Platz genommen. D</w:t>
      </w:r>
      <w:r w:rsidR="00F766D2">
        <w:rPr>
          <w:sz w:val="28"/>
          <w:szCs w:val="28"/>
        </w:rPr>
        <w:t>ie mächtige</w:t>
      </w:r>
      <w:r w:rsidRPr="00F766D2">
        <w:rPr>
          <w:sz w:val="28"/>
          <w:szCs w:val="28"/>
        </w:rPr>
        <w:t xml:space="preserve"> Steigerung der Inklusionsquote wird leider nicht sekundiert durch eine ansehnliche Rücknahme der Separation. </w:t>
      </w:r>
    </w:p>
    <w:p w:rsidR="001C59DA" w:rsidRDefault="001C59DA" w:rsidP="008A2471">
      <w:pPr>
        <w:rPr>
          <w:sz w:val="28"/>
          <w:szCs w:val="28"/>
        </w:rPr>
      </w:pPr>
    </w:p>
    <w:p w:rsidR="005C6C80" w:rsidRPr="006E562E" w:rsidRDefault="005C6C80" w:rsidP="005C6C80">
      <w:pPr>
        <w:rPr>
          <w:b/>
          <w:sz w:val="28"/>
          <w:szCs w:val="28"/>
        </w:rPr>
      </w:pPr>
      <w:r>
        <w:rPr>
          <w:b/>
          <w:sz w:val="28"/>
          <w:szCs w:val="28"/>
        </w:rPr>
        <w:t>2.5 Diskussion der Ergebnisse</w:t>
      </w:r>
    </w:p>
    <w:p w:rsidR="005C6C80" w:rsidRPr="00C473C5" w:rsidRDefault="005C6C80" w:rsidP="008A2471">
      <w:pPr>
        <w:rPr>
          <w:sz w:val="28"/>
          <w:szCs w:val="28"/>
        </w:rPr>
      </w:pPr>
    </w:p>
    <w:p w:rsidR="008A2471" w:rsidRDefault="008A2471" w:rsidP="008A2471">
      <w:pPr>
        <w:rPr>
          <w:sz w:val="28"/>
          <w:szCs w:val="28"/>
        </w:rPr>
      </w:pPr>
      <w:r w:rsidRPr="00C473C5">
        <w:rPr>
          <w:sz w:val="28"/>
          <w:szCs w:val="28"/>
        </w:rPr>
        <w:t>Die aufgezeigten</w:t>
      </w:r>
      <w:r>
        <w:rPr>
          <w:sz w:val="28"/>
          <w:szCs w:val="28"/>
        </w:rPr>
        <w:t xml:space="preserve"> Entwicklungstrends in den bayerischen Reg</w:t>
      </w:r>
      <w:r w:rsidR="002C75DC">
        <w:rPr>
          <w:sz w:val="28"/>
          <w:szCs w:val="28"/>
        </w:rPr>
        <w:t>ierungsbezirken können</w:t>
      </w:r>
      <w:r>
        <w:rPr>
          <w:sz w:val="28"/>
          <w:szCs w:val="28"/>
        </w:rPr>
        <w:t xml:space="preserve"> nicht zufriedenstellen. Diese Feststellung sei erläutert. Zunächst zur Separationsentwick</w:t>
      </w:r>
      <w:r w:rsidR="00B633E1">
        <w:rPr>
          <w:sz w:val="28"/>
          <w:szCs w:val="28"/>
        </w:rPr>
        <w:t>lung. Weil die absoluten Zahlen für die Förderschulen</w:t>
      </w:r>
      <w:r w:rsidR="00122D6E">
        <w:rPr>
          <w:sz w:val="28"/>
          <w:szCs w:val="28"/>
        </w:rPr>
        <w:t xml:space="preserve"> fast alle die Daten des Referenzjahres unterschreiten</w:t>
      </w:r>
      <w:r>
        <w:rPr>
          <w:sz w:val="28"/>
          <w:szCs w:val="28"/>
        </w:rPr>
        <w:t>, könnte man den Eindruck einer rückläufigen Entwicklung der Separation in Förderschulen haben. Dieser Eindruck ist trügerisch und unterschlägt eine wichtige Relativierung. Die Schülerzahlen sind bekanntlich in allen allgemeinen Schulen in den letzten zehn Jahren zurückgegangen, und zwar um durchschnittlich zehn Prozent</w:t>
      </w:r>
      <w:r w:rsidR="00346C35">
        <w:rPr>
          <w:sz w:val="28"/>
          <w:szCs w:val="28"/>
        </w:rPr>
        <w:t xml:space="preserve"> (Abb. 1 in Teil 1)</w:t>
      </w:r>
      <w:r>
        <w:rPr>
          <w:sz w:val="28"/>
          <w:szCs w:val="28"/>
        </w:rPr>
        <w:t>. Ein zehnprozentiger Rückgang der Förderschu</w:t>
      </w:r>
      <w:r w:rsidR="00346C35">
        <w:rPr>
          <w:sz w:val="28"/>
          <w:szCs w:val="28"/>
        </w:rPr>
        <w:t>lzahlen ist also absolut normal</w:t>
      </w:r>
      <w:r w:rsidR="00F215CC">
        <w:rPr>
          <w:sz w:val="28"/>
          <w:szCs w:val="28"/>
        </w:rPr>
        <w:t xml:space="preserve"> </w:t>
      </w:r>
      <w:r>
        <w:rPr>
          <w:sz w:val="28"/>
          <w:szCs w:val="28"/>
        </w:rPr>
        <w:t xml:space="preserve">und darf nicht als eine Minderung der Separation an sich interpretiert werden. Das heißt: Die Entwicklung der bayerischen Förderschulen ist durch eine sehr hohe Stabilität gekennzeichnet. Relativ (!) sind heute genauso viel Schüler mit Behinderungen in separierenden Sonderschulen wie in vorinklusiven Zeiten auch. Die Inklusion hat nicht wirklich Förderschüler aus </w:t>
      </w:r>
      <w:r>
        <w:rPr>
          <w:sz w:val="28"/>
          <w:szCs w:val="28"/>
        </w:rPr>
        <w:lastRenderedPageBreak/>
        <w:t xml:space="preserve">den Sonderschulen herausgeholt. Die Inklusion ist also an den Schüler*innen in den Förderschulen </w:t>
      </w:r>
      <w:r w:rsidR="00E117EE">
        <w:rPr>
          <w:sz w:val="28"/>
          <w:szCs w:val="28"/>
        </w:rPr>
        <w:t xml:space="preserve">nahezu </w:t>
      </w:r>
      <w:r>
        <w:rPr>
          <w:sz w:val="28"/>
          <w:szCs w:val="28"/>
        </w:rPr>
        <w:t>völlig vorbeigegangen. Die statistische Analyse der Separationsentwicklung in Bayern vermittelt den fragwürdigen Eindruck, dass Inklusion die Sonderschulen eigentlich nichts angeht und sie nicht tangiert. Inklusion – so der evidenzbasierte Eindruck – scheint eine exklusive Angelegenheit der allgemeinen Schulen zu sein.</w:t>
      </w:r>
    </w:p>
    <w:p w:rsidR="00D34C9C" w:rsidRDefault="00D34C9C" w:rsidP="008A2471">
      <w:pPr>
        <w:rPr>
          <w:sz w:val="28"/>
          <w:szCs w:val="28"/>
        </w:rPr>
      </w:pPr>
    </w:p>
    <w:p w:rsidR="00D34C9C" w:rsidRDefault="00D34C9C" w:rsidP="00D34C9C">
      <w:pPr>
        <w:rPr>
          <w:sz w:val="28"/>
          <w:szCs w:val="28"/>
        </w:rPr>
      </w:pPr>
      <w:r>
        <w:rPr>
          <w:sz w:val="28"/>
          <w:szCs w:val="28"/>
        </w:rPr>
        <w:t>Die Entwicklung der Inklusionsquote scheint diese verdrehte Aufgaben- und Rollenverteilung zu bestätigen. Die Zahl der „inkludierten“ Schüler*innen mit sonderpädagogischen Förderbedarf in den allgemeinen Schulen hat in Bayern – wie auch in anderen Bundesländern –  nahezu explosionsartig zugenommen. Zugespitzt formuliert: Inklusion findet fast ausschließlich in den allgemeinen Schulen Bayerns statt. Bisherige Problem- und Risikoschüler, die es ja immer und überall gibt, wurden per sonderpädagogischer Diagnostik zu Schülern mit sonderpädagogischem Förderbedarf gemacht. Weil die solchermaßen etikettierten Schüler*innen aber in den allgemeinen Schulen verbleiben, steigt die Inklusionsquote überproportional an und schießt in verwunderliche Höhen. Mit diesen trügerischen Inklusionsquoten werden dann der Öffentlichkeit publicityträchtig große Fortschritte in der Inklusion vorgegaukelt. Die Inklusionsentwicklung in den bayerischen Regierungsbezirken dokumentieren also nicht eine „Inklusion“, die diesen Namen verdient, sondern sind ein blanker Ausdruck einer pseudoinklusiven „Etikettierungsschwemme“ (Wocken 2017).</w:t>
      </w:r>
    </w:p>
    <w:p w:rsidR="00B633E1" w:rsidRDefault="00B633E1" w:rsidP="008A2471">
      <w:pPr>
        <w:rPr>
          <w:sz w:val="28"/>
          <w:szCs w:val="28"/>
        </w:rPr>
      </w:pPr>
    </w:p>
    <w:p w:rsidR="00B633E1" w:rsidRDefault="00D34C9C" w:rsidP="00B633E1">
      <w:pPr>
        <w:rPr>
          <w:sz w:val="28"/>
          <w:szCs w:val="28"/>
        </w:rPr>
      </w:pPr>
      <w:r>
        <w:rPr>
          <w:sz w:val="28"/>
          <w:szCs w:val="28"/>
        </w:rPr>
        <w:t>Die</w:t>
      </w:r>
      <w:r w:rsidR="00B633E1">
        <w:rPr>
          <w:sz w:val="28"/>
          <w:szCs w:val="28"/>
        </w:rPr>
        <w:t xml:space="preserve"> offens</w:t>
      </w:r>
      <w:r>
        <w:rPr>
          <w:sz w:val="28"/>
          <w:szCs w:val="28"/>
        </w:rPr>
        <w:t>ichtliche Wahl der allgemeinen Schule als primäres Handlungsfeld inklusiver Reformen</w:t>
      </w:r>
      <w:r w:rsidR="00B633E1">
        <w:rPr>
          <w:sz w:val="28"/>
          <w:szCs w:val="28"/>
        </w:rPr>
        <w:t xml:space="preserve"> zeugt von einem misslichen Verständnis der schulischen Inklusion. Schulische Inklusion bedeutet weder primär noch gar ausschließlich eine inklusionsorientierte Veränderung der allgemeinen Schule, sondern </w:t>
      </w:r>
      <w:r w:rsidR="00A02087">
        <w:rPr>
          <w:sz w:val="28"/>
          <w:szCs w:val="28"/>
        </w:rPr>
        <w:t>ihr prioritäres Aufgabenfeld</w:t>
      </w:r>
      <w:r w:rsidR="00B633E1">
        <w:rPr>
          <w:sz w:val="28"/>
          <w:szCs w:val="28"/>
        </w:rPr>
        <w:t xml:space="preserve"> ist die Sonderschule</w:t>
      </w:r>
      <w:r>
        <w:rPr>
          <w:sz w:val="28"/>
          <w:szCs w:val="28"/>
        </w:rPr>
        <w:t xml:space="preserve"> als institutionelle Manifestation</w:t>
      </w:r>
      <w:r w:rsidR="00B633E1">
        <w:rPr>
          <w:sz w:val="28"/>
          <w:szCs w:val="28"/>
        </w:rPr>
        <w:t xml:space="preserve"> von Aussonderung und Separation. Schulische Inklusion in den bayerischen Regierungsbezirken – das ist die zentrale Aussage der Ex- und Inklusionslinien – verläuft in doppelter Hinsicht falsch: Die Regierungsbezirke produzieren den eigentlichen Zielsetzungen der Inklusion zuwider mehr Separation und beschränken die inklusionspolitischen Reformaktivitäten weitestgehend auf die allgemeinen Schulen. Dieses Reformkonzept, konservierende Schonung der Sonderschule und pseudoinklusive Aufblähung der allgemeinen Schule, ist in doppelter Hinsicht verkehrt, ja antiinklusiv.</w:t>
      </w:r>
    </w:p>
    <w:p w:rsidR="00B633E1" w:rsidRDefault="00B633E1" w:rsidP="008A2471">
      <w:pPr>
        <w:rPr>
          <w:sz w:val="28"/>
          <w:szCs w:val="28"/>
        </w:rPr>
      </w:pPr>
    </w:p>
    <w:p w:rsidR="00B633E1" w:rsidRDefault="00B633E1" w:rsidP="008A2471">
      <w:pPr>
        <w:rPr>
          <w:sz w:val="28"/>
          <w:szCs w:val="28"/>
        </w:rPr>
      </w:pPr>
      <w:r>
        <w:rPr>
          <w:sz w:val="28"/>
          <w:szCs w:val="28"/>
        </w:rPr>
        <w:t>Das System der schulischen Separation ist sehr wohl bereit, in die allgemeinen Schulen mehr Sonderpädagogik zu exporti</w:t>
      </w:r>
      <w:r w:rsidR="00C73C69">
        <w:rPr>
          <w:sz w:val="28"/>
          <w:szCs w:val="28"/>
        </w:rPr>
        <w:t>eren und damit das System</w:t>
      </w:r>
      <w:r>
        <w:rPr>
          <w:sz w:val="28"/>
          <w:szCs w:val="28"/>
        </w:rPr>
        <w:t xml:space="preserve"> mit einem inklusiven Schleier zu schmücken. Zugleich erklärt das separierende Schulsystem aber die Sonderschulen als tabu. Inklusion innerhalb der allgemeinen Schulen ja, Inklusion der Sonderschulen nein.</w:t>
      </w:r>
      <w:r w:rsidR="0073402C">
        <w:rPr>
          <w:sz w:val="28"/>
          <w:szCs w:val="28"/>
        </w:rPr>
        <w:t xml:space="preserve"> Jegliche „Inklusion“, die den Sonderschulen nicht schadet, ist erlaubt. Jegliche Inklusion aber, die den </w:t>
      </w:r>
      <w:r w:rsidR="0073402C">
        <w:rPr>
          <w:sz w:val="28"/>
          <w:szCs w:val="28"/>
        </w:rPr>
        <w:lastRenderedPageBreak/>
        <w:t xml:space="preserve">Sonderschulen etwas wegnimmt, ist unerwünscht und wird nicht gefördert. Das herrschende System schützt die Sonderschulen </w:t>
      </w:r>
      <w:r w:rsidR="00C73C69">
        <w:rPr>
          <w:sz w:val="28"/>
          <w:szCs w:val="28"/>
        </w:rPr>
        <w:t>vor einer fortschreitenden Schrumpfung</w:t>
      </w:r>
      <w:r w:rsidR="0073402C">
        <w:rPr>
          <w:sz w:val="28"/>
          <w:szCs w:val="28"/>
        </w:rPr>
        <w:t>. Und es betreibt durch die E</w:t>
      </w:r>
      <w:r w:rsidR="006B5DDD">
        <w:rPr>
          <w:sz w:val="28"/>
          <w:szCs w:val="28"/>
        </w:rPr>
        <w:t>ti</w:t>
      </w:r>
      <w:r w:rsidR="0073402C">
        <w:rPr>
          <w:sz w:val="28"/>
          <w:szCs w:val="28"/>
        </w:rPr>
        <w:t>k</w:t>
      </w:r>
      <w:r w:rsidR="006B5DDD">
        <w:rPr>
          <w:sz w:val="28"/>
          <w:szCs w:val="28"/>
        </w:rPr>
        <w:t>e</w:t>
      </w:r>
      <w:r w:rsidR="0073402C">
        <w:rPr>
          <w:sz w:val="28"/>
          <w:szCs w:val="28"/>
        </w:rPr>
        <w:t>ttierungsschwemme eine pseudoinklusive Imagepflege sowie eine sedierende Befriedung der inklusiven Öffentlichkeit.</w:t>
      </w:r>
    </w:p>
    <w:p w:rsidR="0073402C" w:rsidRDefault="0073402C" w:rsidP="008A2471">
      <w:pPr>
        <w:rPr>
          <w:sz w:val="28"/>
          <w:szCs w:val="28"/>
        </w:rPr>
      </w:pPr>
    </w:p>
    <w:p w:rsidR="00386B8F" w:rsidRPr="00386B8F" w:rsidRDefault="00F215CC" w:rsidP="002061BB">
      <w:pPr>
        <w:rPr>
          <w:b/>
          <w:sz w:val="28"/>
          <w:szCs w:val="28"/>
        </w:rPr>
      </w:pPr>
      <w:r>
        <w:rPr>
          <w:b/>
          <w:sz w:val="28"/>
          <w:szCs w:val="28"/>
        </w:rPr>
        <w:t xml:space="preserve">2.6 </w:t>
      </w:r>
      <w:r w:rsidR="00386B8F" w:rsidRPr="00386B8F">
        <w:rPr>
          <w:b/>
          <w:sz w:val="28"/>
          <w:szCs w:val="28"/>
        </w:rPr>
        <w:t>Fazit</w:t>
      </w:r>
    </w:p>
    <w:p w:rsidR="00386B8F" w:rsidRDefault="00386B8F" w:rsidP="002061BB">
      <w:pPr>
        <w:rPr>
          <w:sz w:val="28"/>
          <w:szCs w:val="28"/>
        </w:rPr>
      </w:pPr>
    </w:p>
    <w:p w:rsidR="00386B8F" w:rsidRDefault="00386B8F" w:rsidP="002061BB">
      <w:pPr>
        <w:rPr>
          <w:sz w:val="28"/>
          <w:szCs w:val="28"/>
        </w:rPr>
      </w:pPr>
      <w:r>
        <w:rPr>
          <w:sz w:val="28"/>
          <w:szCs w:val="28"/>
        </w:rPr>
        <w:t>Der Beitrag beschreibt die quantitative Entwicklung der</w:t>
      </w:r>
      <w:r w:rsidR="00D34C9C">
        <w:rPr>
          <w:sz w:val="28"/>
          <w:szCs w:val="28"/>
        </w:rPr>
        <w:t xml:space="preserve"> schulischen Inklusion in den bayerischen Regierungsbezirken</w:t>
      </w:r>
      <w:r>
        <w:rPr>
          <w:sz w:val="28"/>
          <w:szCs w:val="28"/>
        </w:rPr>
        <w:t xml:space="preserve"> von 2008/09 bis 2019/20. Die Beschränkung auf die quantitative Entwicklung sollte nicht kleingeredet werden. Jede Inklusionsreform muss sich letztlich in einem Rückbau von Förderschulen und in einem Rückgang von Förderschüler*innen in Sonderschulen erweisen, daran führt kein Weg vorbei. Die Parameter Inklusions- und S</w:t>
      </w:r>
      <w:r w:rsidR="000218F9">
        <w:rPr>
          <w:sz w:val="28"/>
          <w:szCs w:val="28"/>
        </w:rPr>
        <w:t>epa</w:t>
      </w:r>
      <w:r>
        <w:rPr>
          <w:sz w:val="28"/>
          <w:szCs w:val="28"/>
        </w:rPr>
        <w:t xml:space="preserve">rationsquote sind geeignete Messlatten, um den Fortschritt der schulischen Inklusion abzubilden. Durch ihre Kombination in einer Kreuztabelle werden die bayerischen Regierungsbezirke zu </w:t>
      </w:r>
      <w:r w:rsidR="000218F9">
        <w:rPr>
          <w:sz w:val="28"/>
          <w:szCs w:val="28"/>
        </w:rPr>
        <w:t>aussagekräftigen</w:t>
      </w:r>
      <w:r>
        <w:rPr>
          <w:sz w:val="28"/>
          <w:szCs w:val="28"/>
        </w:rPr>
        <w:t xml:space="preserve"> Clustern gebündelt, die sich signifikant von</w:t>
      </w:r>
      <w:r w:rsidR="00DF0974">
        <w:rPr>
          <w:sz w:val="28"/>
          <w:szCs w:val="28"/>
        </w:rPr>
        <w:t>einander unterscheiden.</w:t>
      </w:r>
    </w:p>
    <w:p w:rsidR="00DF0974" w:rsidRDefault="00DF0974" w:rsidP="002061BB">
      <w:pPr>
        <w:rPr>
          <w:sz w:val="28"/>
          <w:szCs w:val="28"/>
        </w:rPr>
      </w:pPr>
    </w:p>
    <w:p w:rsidR="00DF0974" w:rsidRDefault="00DF0974" w:rsidP="002061BB">
      <w:pPr>
        <w:rPr>
          <w:sz w:val="28"/>
          <w:szCs w:val="28"/>
        </w:rPr>
      </w:pPr>
      <w:r>
        <w:rPr>
          <w:sz w:val="28"/>
          <w:szCs w:val="28"/>
        </w:rPr>
        <w:t>Eine zufriedenstellende Entwicklung der Inklusions- und Separationsquote verzeichnen allein die Regierungsbezirke Oberpfalz</w:t>
      </w:r>
      <w:r w:rsidR="00C73C69">
        <w:rPr>
          <w:sz w:val="28"/>
          <w:szCs w:val="28"/>
        </w:rPr>
        <w:t>, Oberbayern und Niederbayern,</w:t>
      </w:r>
      <w:r>
        <w:rPr>
          <w:sz w:val="28"/>
          <w:szCs w:val="28"/>
        </w:rPr>
        <w:t xml:space="preserve"> die sowohl eine stetige Senkung der Separationsquote wie auch eine maßvolle Steigerung der Inklusionsquote vermelden können. Alle anderen Regierungsbezirke geben zu Kritik an der Entwicklung der schulischen Inklusion Anlass. Entweder </w:t>
      </w:r>
      <w:r w:rsidR="00C73C69">
        <w:rPr>
          <w:sz w:val="28"/>
          <w:szCs w:val="28"/>
        </w:rPr>
        <w:t xml:space="preserve">sie sind allzu emsig mit einer diagnostischen Etikettierung von Risiko- und Problemschülern als Schüler*innen mit sonderpädagogischem Förderbedarf unterwegs. Oder </w:t>
      </w:r>
      <w:r>
        <w:rPr>
          <w:sz w:val="28"/>
          <w:szCs w:val="28"/>
        </w:rPr>
        <w:t>sie l</w:t>
      </w:r>
      <w:r w:rsidR="00C73C69">
        <w:rPr>
          <w:sz w:val="28"/>
          <w:szCs w:val="28"/>
        </w:rPr>
        <w:t xml:space="preserve">assen es an einer hinreichenden </w:t>
      </w:r>
      <w:r>
        <w:rPr>
          <w:sz w:val="28"/>
          <w:szCs w:val="28"/>
        </w:rPr>
        <w:t xml:space="preserve">Minderung der Förderschulquote fehlen; </w:t>
      </w:r>
      <w:r w:rsidR="00C73C69">
        <w:rPr>
          <w:sz w:val="28"/>
          <w:szCs w:val="28"/>
        </w:rPr>
        <w:t>so insbesondere die fränkischen Regierungsbezirke.</w:t>
      </w:r>
    </w:p>
    <w:p w:rsidR="00F215CC" w:rsidRDefault="00F215CC" w:rsidP="002061BB">
      <w:pPr>
        <w:rPr>
          <w:sz w:val="28"/>
          <w:szCs w:val="28"/>
        </w:rPr>
      </w:pPr>
    </w:p>
    <w:p w:rsidR="007C404A" w:rsidRDefault="007E5BF5" w:rsidP="002061BB">
      <w:pPr>
        <w:rPr>
          <w:sz w:val="28"/>
          <w:szCs w:val="28"/>
        </w:rPr>
      </w:pPr>
      <w:r>
        <w:rPr>
          <w:sz w:val="28"/>
          <w:szCs w:val="28"/>
        </w:rPr>
        <w:t>Die empirischen Befunde zur quantitativen Entwicklung der schulischen Inklusion in Bayern zeigen einen deutlichen Handlungsbedarf an. Die Handlungsempfehlungen ergeben</w:t>
      </w:r>
      <w:r w:rsidR="00CC477F">
        <w:rPr>
          <w:sz w:val="28"/>
          <w:szCs w:val="28"/>
        </w:rPr>
        <w:t xml:space="preserve"> sich aus</w:t>
      </w:r>
      <w:r>
        <w:rPr>
          <w:sz w:val="28"/>
          <w:szCs w:val="28"/>
        </w:rPr>
        <w:t xml:space="preserve"> den leitenden Gütekriterien „Separationsminderung“ und „moderater Inklusionszuwachs“ und müssen nicht ausbuchstabiert werden. Es scheint in der bayerischen Bildungspolitik an einem angemessenen V</w:t>
      </w:r>
      <w:r w:rsidR="00CC477F">
        <w:rPr>
          <w:sz w:val="28"/>
          <w:szCs w:val="28"/>
        </w:rPr>
        <w:t>erständnis, was</w:t>
      </w:r>
      <w:r>
        <w:rPr>
          <w:sz w:val="28"/>
          <w:szCs w:val="28"/>
        </w:rPr>
        <w:t xml:space="preserve"> eigentlich Ziel und Sinn von schulischer Inklusion sind, zu fehlen.</w:t>
      </w:r>
      <w:r w:rsidR="00DA4216">
        <w:rPr>
          <w:sz w:val="28"/>
          <w:szCs w:val="28"/>
        </w:rPr>
        <w:t xml:space="preserve"> Man kann ja durchaus darüber streiten, was die Behindertenrechtskonvention unter einem „inklusiven Schulsystem“ versteht. Aber sowohl die sture</w:t>
      </w:r>
      <w:r w:rsidR="0024580A">
        <w:rPr>
          <w:sz w:val="28"/>
          <w:szCs w:val="28"/>
        </w:rPr>
        <w:t>, verkrampfte</w:t>
      </w:r>
      <w:r w:rsidR="00DA4216">
        <w:rPr>
          <w:sz w:val="28"/>
          <w:szCs w:val="28"/>
        </w:rPr>
        <w:t xml:space="preserve"> Konservierung eines unveränderten, ungeminderten Sonderschulsystems als auch die unmäßige diagnostische Etikettierung und fragwürdige Sonderpädagogisierung </w:t>
      </w:r>
      <w:r w:rsidR="000218F9">
        <w:rPr>
          <w:sz w:val="28"/>
          <w:szCs w:val="28"/>
        </w:rPr>
        <w:t>der allgemeinen Schule</w:t>
      </w:r>
      <w:r w:rsidR="00C521DD">
        <w:rPr>
          <w:sz w:val="28"/>
          <w:szCs w:val="28"/>
        </w:rPr>
        <w:t xml:space="preserve">, die nichts weiter als bloße </w:t>
      </w:r>
      <w:r w:rsidR="00DA4216">
        <w:rPr>
          <w:sz w:val="28"/>
          <w:szCs w:val="28"/>
        </w:rPr>
        <w:t xml:space="preserve">Inklusionskosmetik sind, laufen dem wahren </w:t>
      </w:r>
      <w:r w:rsidR="00DA4216">
        <w:rPr>
          <w:sz w:val="28"/>
          <w:szCs w:val="28"/>
        </w:rPr>
        <w:lastRenderedPageBreak/>
        <w:t xml:space="preserve">Anliegen einer schulischen Inklusionsreform stracks zuwider; daran sollte </w:t>
      </w:r>
      <w:r w:rsidR="00CC477F">
        <w:rPr>
          <w:sz w:val="28"/>
          <w:szCs w:val="28"/>
        </w:rPr>
        <w:t xml:space="preserve">es </w:t>
      </w:r>
      <w:r w:rsidR="00DA4216">
        <w:rPr>
          <w:sz w:val="28"/>
          <w:szCs w:val="28"/>
        </w:rPr>
        <w:t>keinen Zweifel geben.</w:t>
      </w:r>
    </w:p>
    <w:p w:rsidR="00C73C69" w:rsidRDefault="00C73C69" w:rsidP="002061BB">
      <w:pPr>
        <w:rPr>
          <w:sz w:val="28"/>
          <w:szCs w:val="28"/>
        </w:rPr>
      </w:pPr>
    </w:p>
    <w:p w:rsidR="00C73C69" w:rsidRPr="00C473C5" w:rsidRDefault="00C73C69" w:rsidP="00C73C69">
      <w:pPr>
        <w:rPr>
          <w:sz w:val="28"/>
          <w:szCs w:val="28"/>
        </w:rPr>
      </w:pPr>
      <w:r>
        <w:rPr>
          <w:sz w:val="28"/>
          <w:szCs w:val="28"/>
        </w:rPr>
        <w:t>Das Herz der bayerischen Bildungspolitik schlägt für die Separation. Der oberste Grundsatz der bildungspolitischen Programmatik Bayerns laute</w:t>
      </w:r>
      <w:r w:rsidR="0024580A">
        <w:rPr>
          <w:sz w:val="28"/>
          <w:szCs w:val="28"/>
        </w:rPr>
        <w:t xml:space="preserve">t unverändert: Separation </w:t>
      </w:r>
      <w:proofErr w:type="spellStart"/>
      <w:r w:rsidR="0024580A">
        <w:rPr>
          <w:sz w:val="28"/>
          <w:szCs w:val="28"/>
        </w:rPr>
        <w:t>first</w:t>
      </w:r>
      <w:proofErr w:type="spellEnd"/>
      <w:r w:rsidR="0024580A">
        <w:rPr>
          <w:sz w:val="28"/>
          <w:szCs w:val="28"/>
        </w:rPr>
        <w:t>!</w:t>
      </w:r>
      <w:r>
        <w:rPr>
          <w:sz w:val="28"/>
          <w:szCs w:val="28"/>
        </w:rPr>
        <w:t xml:space="preserve">. Mögen regierungsamtliche Erklärungen noch so sehr zufriedenstellende Erfolge und wohlmeinende Absichten verkünden, die empirischen Fakten sprechen eine andere Sprache. Die bildungspolitische Programmatik „Vielfalt der Lernorte“, die jährlichen einhundert Lehrerstellen, die für Inklusion zusätzlich zur Verfügung gestellt werden, die sich stetig mehrere Beurkundung von „Schulen mit dem Schulprofil Inklusion“ – all das und anderes mehr hat </w:t>
      </w:r>
      <w:r w:rsidR="0024580A">
        <w:rPr>
          <w:sz w:val="28"/>
          <w:szCs w:val="28"/>
        </w:rPr>
        <w:t xml:space="preserve">wahrlich </w:t>
      </w:r>
      <w:r>
        <w:rPr>
          <w:sz w:val="28"/>
          <w:szCs w:val="28"/>
        </w:rPr>
        <w:t>nicht den Aufbau eines inklusiven Schulsystem gefördert, sondern im Gegenteil das System der Separation stabilisiert und gekräftigt. Das ist die nackte, ungeschminkte, evidenzbasierte Wahrheit der empirischen Statistik!</w:t>
      </w:r>
    </w:p>
    <w:p w:rsidR="00C73C69" w:rsidRDefault="00C73C69" w:rsidP="002061BB">
      <w:pPr>
        <w:rPr>
          <w:sz w:val="28"/>
          <w:szCs w:val="28"/>
        </w:rPr>
      </w:pPr>
    </w:p>
    <w:p w:rsidR="00066903" w:rsidRDefault="00066903">
      <w:pPr>
        <w:rPr>
          <w:sz w:val="28"/>
          <w:szCs w:val="28"/>
        </w:rPr>
      </w:pPr>
      <w:r>
        <w:rPr>
          <w:sz w:val="28"/>
          <w:szCs w:val="28"/>
        </w:rPr>
        <w:br w:type="page"/>
      </w:r>
    </w:p>
    <w:p w:rsidR="00066903" w:rsidRDefault="00066903" w:rsidP="00066903">
      <w:pPr>
        <w:rPr>
          <w:rFonts w:ascii="Calibri" w:eastAsia="Times New Roman" w:hAnsi="Calibri" w:cs="Calibri"/>
          <w:color w:val="000000"/>
          <w:sz w:val="22"/>
          <w:lang w:eastAsia="de-DE"/>
        </w:rPr>
        <w:sectPr w:rsidR="00066903" w:rsidSect="00D647E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start="7"/>
          <w:cols w:space="708"/>
          <w:docGrid w:linePitch="360"/>
        </w:sectPr>
      </w:pPr>
    </w:p>
    <w:p w:rsidR="00066903" w:rsidRPr="00E92EF8" w:rsidRDefault="00E92EF8">
      <w:pPr>
        <w:rPr>
          <w:b/>
          <w:sz w:val="28"/>
          <w:szCs w:val="28"/>
        </w:rPr>
      </w:pPr>
      <w:r w:rsidRPr="00E92EF8">
        <w:rPr>
          <w:b/>
          <w:sz w:val="28"/>
          <w:szCs w:val="28"/>
        </w:rPr>
        <w:lastRenderedPageBreak/>
        <w:t>Anhang</w:t>
      </w:r>
    </w:p>
    <w:p w:rsidR="00E92EF8" w:rsidRDefault="00E92EF8">
      <w:pPr>
        <w:rPr>
          <w:sz w:val="28"/>
          <w:szCs w:val="28"/>
        </w:rPr>
      </w:pPr>
    </w:p>
    <w:tbl>
      <w:tblPr>
        <w:tblW w:w="10660" w:type="dxa"/>
        <w:tblInd w:w="-851" w:type="dxa"/>
        <w:tblCellMar>
          <w:left w:w="70" w:type="dxa"/>
          <w:right w:w="70" w:type="dxa"/>
        </w:tblCellMar>
        <w:tblLook w:val="04A0" w:firstRow="1" w:lastRow="0" w:firstColumn="1" w:lastColumn="0" w:noHBand="0" w:noVBand="1"/>
      </w:tblPr>
      <w:tblGrid>
        <w:gridCol w:w="967"/>
        <w:gridCol w:w="946"/>
        <w:gridCol w:w="869"/>
        <w:gridCol w:w="645"/>
        <w:gridCol w:w="1042"/>
        <w:gridCol w:w="709"/>
        <w:gridCol w:w="709"/>
        <w:gridCol w:w="946"/>
        <w:gridCol w:w="869"/>
        <w:gridCol w:w="645"/>
        <w:gridCol w:w="1042"/>
        <w:gridCol w:w="709"/>
        <w:gridCol w:w="709"/>
      </w:tblGrid>
      <w:tr w:rsidR="000021B5" w:rsidRPr="000021B5" w:rsidTr="000021B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 </w:t>
            </w:r>
          </w:p>
        </w:tc>
        <w:tc>
          <w:tcPr>
            <w:tcW w:w="2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Oberpfalz</w:t>
            </w:r>
          </w:p>
        </w:tc>
        <w:tc>
          <w:tcPr>
            <w:tcW w:w="2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Oberfranken</w:t>
            </w:r>
          </w:p>
        </w:tc>
        <w:tc>
          <w:tcPr>
            <w:tcW w:w="2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Mittelfranken</w:t>
            </w:r>
          </w:p>
        </w:tc>
        <w:tc>
          <w:tcPr>
            <w:tcW w:w="2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Unterfranken</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7C30FC" w:rsidP="000021B5">
            <w:pPr>
              <w:rPr>
                <w:rFonts w:ascii="Calibri" w:eastAsia="Times New Roman" w:hAnsi="Calibri" w:cs="Calibri"/>
                <w:color w:val="000000"/>
                <w:sz w:val="22"/>
                <w:lang w:eastAsia="de-DE"/>
              </w:rPr>
            </w:pPr>
            <w:r>
              <w:rPr>
                <w:rFonts w:ascii="Calibri" w:eastAsia="Times New Roman" w:hAnsi="Calibri" w:cs="Calibri"/>
                <w:color w:val="000000"/>
                <w:sz w:val="22"/>
                <w:lang w:eastAsia="de-DE"/>
              </w:rPr>
              <w:t>Schuljahr</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Bezirk</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AS</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FS</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Bezirk</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AS</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FS</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Bezirk</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AS</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FS</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Bezirk</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AS</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FS</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2008/09</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113021</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1557</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4419</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109575</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968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4419</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172673</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613</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9890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139207</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2469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6958</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2009/10</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110747</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1445</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4290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107143</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939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4357</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170456</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653</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9911</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136264</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2310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6908</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2010/11</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107831</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2041</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4183</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103852</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1002</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4212</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166634</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1043</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9648</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132180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2589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6676</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2011/12</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105207</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2244</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4006</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101017</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1248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4215</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163347</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1125</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9300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128499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2309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6533</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2012/13</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102382</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2381</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3880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98176</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1339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4120</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161080</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1289</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9082</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124868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2397</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6419</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2013/14</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100099</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2732</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3739</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95498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1339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4035</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159217</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1317</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8920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121379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2351</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6262</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2014/15</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98186</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2598</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3693</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93520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1289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3991</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158235</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1449</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8865</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118679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2353</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6139</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2015/16</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96927</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2680</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3700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91908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1439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4029</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157779</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1431</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8816</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116590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2143</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6093</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2016/17</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95489</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2290</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3742</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90164</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1290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4032</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158372</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1450</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8821</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115314</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2086</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6124</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2017/18</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93808</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7C30FC" w:rsidP="000021B5">
            <w:pPr>
              <w:jc w:val="right"/>
              <w:rPr>
                <w:rFonts w:ascii="Calibri" w:eastAsia="Times New Roman" w:hAnsi="Calibri" w:cs="Calibri"/>
                <w:color w:val="000000"/>
                <w:sz w:val="22"/>
                <w:lang w:eastAsia="de-DE"/>
              </w:rPr>
            </w:pPr>
            <w:r>
              <w:rPr>
                <w:rFonts w:ascii="Calibri" w:eastAsia="Times New Roman" w:hAnsi="Calibri" w:cs="Calibri"/>
                <w:color w:val="000000"/>
                <w:sz w:val="22"/>
                <w:lang w:eastAsia="de-DE"/>
              </w:rPr>
              <w:t>2210</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3808</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89200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1191</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4097</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157682</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7C30FC" w:rsidP="000021B5">
            <w:pPr>
              <w:jc w:val="right"/>
              <w:rPr>
                <w:rFonts w:ascii="Calibri" w:eastAsia="Times New Roman" w:hAnsi="Calibri" w:cs="Calibri"/>
                <w:color w:val="000000"/>
                <w:sz w:val="22"/>
                <w:lang w:eastAsia="de-DE"/>
              </w:rPr>
            </w:pPr>
            <w:r>
              <w:rPr>
                <w:rFonts w:ascii="Calibri" w:eastAsia="Times New Roman" w:hAnsi="Calibri" w:cs="Calibri"/>
                <w:color w:val="000000"/>
                <w:sz w:val="22"/>
                <w:lang w:eastAsia="de-DE"/>
              </w:rPr>
              <w:t>1572</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8930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113951</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2566</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6136</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2018/19</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93615</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2131</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3907</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88839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1092</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4153</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157539</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1695</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8965</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113655</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3046</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6212</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2019/20</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93492</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2302</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3964</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88134</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1207</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4227</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157616</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2317</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8889</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112768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3473</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6199</w:t>
            </w:r>
          </w:p>
        </w:tc>
      </w:tr>
    </w:tbl>
    <w:p w:rsidR="007C404A" w:rsidRDefault="007C404A">
      <w:pPr>
        <w:rPr>
          <w:sz w:val="28"/>
          <w:szCs w:val="28"/>
        </w:rPr>
      </w:pPr>
    </w:p>
    <w:p w:rsidR="000021B5" w:rsidRDefault="000021B5">
      <w:pPr>
        <w:rPr>
          <w:sz w:val="28"/>
          <w:szCs w:val="28"/>
        </w:rPr>
      </w:pPr>
    </w:p>
    <w:tbl>
      <w:tblPr>
        <w:tblW w:w="8201" w:type="dxa"/>
        <w:tblInd w:w="-851" w:type="dxa"/>
        <w:tblCellMar>
          <w:left w:w="70" w:type="dxa"/>
          <w:right w:w="70" w:type="dxa"/>
        </w:tblCellMar>
        <w:tblLook w:val="04A0" w:firstRow="1" w:lastRow="0" w:firstColumn="1" w:lastColumn="0" w:noHBand="0" w:noVBand="1"/>
      </w:tblPr>
      <w:tblGrid>
        <w:gridCol w:w="967"/>
        <w:gridCol w:w="1042"/>
        <w:gridCol w:w="709"/>
        <w:gridCol w:w="709"/>
        <w:gridCol w:w="976"/>
        <w:gridCol w:w="665"/>
        <w:gridCol w:w="820"/>
        <w:gridCol w:w="946"/>
        <w:gridCol w:w="869"/>
        <w:gridCol w:w="645"/>
      </w:tblGrid>
      <w:tr w:rsidR="000021B5" w:rsidRPr="000021B5" w:rsidTr="000021B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 </w:t>
            </w:r>
          </w:p>
        </w:tc>
        <w:tc>
          <w:tcPr>
            <w:tcW w:w="2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Schwaben</w:t>
            </w:r>
          </w:p>
        </w:tc>
        <w:tc>
          <w:tcPr>
            <w:tcW w:w="2461"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Oberbayern</w:t>
            </w:r>
          </w:p>
        </w:tc>
        <w:tc>
          <w:tcPr>
            <w:tcW w:w="24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Niederbayern</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7C30FC" w:rsidP="000021B5">
            <w:pPr>
              <w:rPr>
                <w:rFonts w:ascii="Calibri" w:eastAsia="Times New Roman" w:hAnsi="Calibri" w:cs="Calibri"/>
                <w:color w:val="000000"/>
                <w:sz w:val="22"/>
                <w:lang w:eastAsia="de-DE"/>
              </w:rPr>
            </w:pPr>
            <w:r>
              <w:rPr>
                <w:rFonts w:ascii="Calibri" w:eastAsia="Times New Roman" w:hAnsi="Calibri" w:cs="Calibri"/>
                <w:color w:val="000000"/>
                <w:sz w:val="22"/>
                <w:lang w:eastAsia="de-DE"/>
              </w:rPr>
              <w:t>Schuljahr</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Bezirk</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AS</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FS</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Bezirk</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AS</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FS</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Bezirk</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AS</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FS</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2008/09</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194759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1255</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8635</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430310</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2640</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17050</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128658</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1842</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5399</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2009/10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191766</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1218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8421</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429055</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2601</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16903</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126578</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1751</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5359</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2010/11</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188023</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1621</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8107</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426156</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3294</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16822</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123715</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2944</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5266</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2011/12</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183919</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1866</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7862</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424158</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4545</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16439</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121014</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2804</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5140</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2012/13</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180500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2175</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7758</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421822</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5905</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16382</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118114</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2711</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5039</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2013/14</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177118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2555</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7521</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420005</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6500</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16112</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115542</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2496</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5034</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2014/15</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174718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2701</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7436</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419676</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7056</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16167</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113443</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2394</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5018</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2015/16</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172841</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3063</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7309</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419665</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7122</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16101</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112253</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2422</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4971</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2016/17</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170977</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3118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7369</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421508</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6898</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16313</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110525</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2293</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4937</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2017/18</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169038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3698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7412</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420486</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6869</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16555</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109501</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7C30FC" w:rsidP="000021B5">
            <w:pPr>
              <w:jc w:val="right"/>
              <w:rPr>
                <w:rFonts w:ascii="Calibri" w:eastAsia="Times New Roman" w:hAnsi="Calibri" w:cs="Calibri"/>
                <w:color w:val="000000"/>
                <w:sz w:val="22"/>
                <w:lang w:eastAsia="de-DE"/>
              </w:rPr>
            </w:pPr>
            <w:r>
              <w:rPr>
                <w:rFonts w:ascii="Calibri" w:eastAsia="Times New Roman" w:hAnsi="Calibri" w:cs="Calibri"/>
                <w:color w:val="000000"/>
                <w:sz w:val="22"/>
                <w:lang w:eastAsia="de-DE"/>
              </w:rPr>
              <w:t>2467</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5086</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2018/19</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169015</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4278</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7630</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422555</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6840</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16881</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109266</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2642</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5143</w:t>
            </w:r>
          </w:p>
        </w:tc>
      </w:tr>
      <w:tr w:rsidR="000021B5" w:rsidRPr="000021B5" w:rsidTr="000021B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21B5" w:rsidRPr="000021B5" w:rsidRDefault="000021B5" w:rsidP="000021B5">
            <w:pPr>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2019/20</w:t>
            </w:r>
          </w:p>
        </w:tc>
        <w:tc>
          <w:tcPr>
            <w:tcW w:w="1042"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168777</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4600</w:t>
            </w:r>
          </w:p>
        </w:tc>
        <w:tc>
          <w:tcPr>
            <w:tcW w:w="70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7618</w:t>
            </w:r>
          </w:p>
        </w:tc>
        <w:tc>
          <w:tcPr>
            <w:tcW w:w="97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424059</w:t>
            </w:r>
          </w:p>
        </w:tc>
        <w:tc>
          <w:tcPr>
            <w:tcW w:w="66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7322</w:t>
            </w:r>
          </w:p>
        </w:tc>
        <w:tc>
          <w:tcPr>
            <w:tcW w:w="820"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16611</w:t>
            </w:r>
          </w:p>
        </w:tc>
        <w:tc>
          <w:tcPr>
            <w:tcW w:w="946"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109046</w:t>
            </w:r>
          </w:p>
        </w:tc>
        <w:tc>
          <w:tcPr>
            <w:tcW w:w="869"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2987</w:t>
            </w:r>
          </w:p>
        </w:tc>
        <w:tc>
          <w:tcPr>
            <w:tcW w:w="645" w:type="dxa"/>
            <w:tcBorders>
              <w:top w:val="nil"/>
              <w:left w:val="nil"/>
              <w:bottom w:val="single" w:sz="4" w:space="0" w:color="auto"/>
              <w:right w:val="single" w:sz="4" w:space="0" w:color="auto"/>
            </w:tcBorders>
            <w:shd w:val="clear" w:color="auto" w:fill="auto"/>
            <w:noWrap/>
            <w:vAlign w:val="bottom"/>
            <w:hideMark/>
          </w:tcPr>
          <w:p w:rsidR="000021B5" w:rsidRPr="000021B5" w:rsidRDefault="000021B5" w:rsidP="000021B5">
            <w:pPr>
              <w:jc w:val="right"/>
              <w:rPr>
                <w:rFonts w:ascii="Calibri" w:eastAsia="Times New Roman" w:hAnsi="Calibri" w:cs="Calibri"/>
                <w:color w:val="000000"/>
                <w:sz w:val="22"/>
                <w:lang w:eastAsia="de-DE"/>
              </w:rPr>
            </w:pPr>
            <w:r w:rsidRPr="000021B5">
              <w:rPr>
                <w:rFonts w:ascii="Calibri" w:eastAsia="Times New Roman" w:hAnsi="Calibri" w:cs="Calibri"/>
                <w:color w:val="000000"/>
                <w:sz w:val="22"/>
                <w:lang w:eastAsia="de-DE"/>
              </w:rPr>
              <w:t>5208</w:t>
            </w:r>
          </w:p>
        </w:tc>
      </w:tr>
    </w:tbl>
    <w:p w:rsidR="000021B5" w:rsidRDefault="000021B5">
      <w:pPr>
        <w:rPr>
          <w:sz w:val="28"/>
          <w:szCs w:val="28"/>
        </w:rPr>
      </w:pPr>
    </w:p>
    <w:p w:rsidR="007E5BF5" w:rsidRDefault="00FD162E" w:rsidP="004E17A2">
      <w:pPr>
        <w:ind w:left="-850"/>
        <w:rPr>
          <w:sz w:val="28"/>
          <w:szCs w:val="28"/>
        </w:rPr>
      </w:pPr>
      <w:r>
        <w:rPr>
          <w:b/>
          <w:sz w:val="28"/>
          <w:szCs w:val="28"/>
        </w:rPr>
        <w:t>Anhang</w:t>
      </w:r>
      <w:r w:rsidR="004E17A2" w:rsidRPr="007C30FC">
        <w:rPr>
          <w:b/>
          <w:sz w:val="28"/>
          <w:szCs w:val="28"/>
        </w:rPr>
        <w:t xml:space="preserve"> 1</w:t>
      </w:r>
      <w:r w:rsidR="004E17A2">
        <w:rPr>
          <w:sz w:val="28"/>
          <w:szCs w:val="28"/>
        </w:rPr>
        <w:t>: Schüler*innen in den bayerischen Regierungsbezirken:</w:t>
      </w:r>
    </w:p>
    <w:p w:rsidR="004E17A2" w:rsidRDefault="004E17A2" w:rsidP="004E17A2">
      <w:pPr>
        <w:ind w:left="-850"/>
        <w:rPr>
          <w:sz w:val="28"/>
          <w:szCs w:val="28"/>
        </w:rPr>
      </w:pPr>
      <w:r>
        <w:rPr>
          <w:sz w:val="28"/>
          <w:szCs w:val="28"/>
        </w:rPr>
        <w:t>1) Bezirk: Alle Schüler*innen der Primar- und Sekundarstufe I an Regelschulen</w:t>
      </w:r>
    </w:p>
    <w:p w:rsidR="004E17A2" w:rsidRDefault="00D647EA" w:rsidP="004E17A2">
      <w:pPr>
        <w:ind w:left="-850"/>
        <w:rPr>
          <w:sz w:val="28"/>
          <w:szCs w:val="28"/>
        </w:rPr>
      </w:pPr>
      <w:r>
        <w:rPr>
          <w:sz w:val="28"/>
          <w:szCs w:val="28"/>
        </w:rPr>
        <w:t xml:space="preserve">2) </w:t>
      </w:r>
      <w:r w:rsidR="004E17A2">
        <w:rPr>
          <w:sz w:val="28"/>
          <w:szCs w:val="28"/>
        </w:rPr>
        <w:t>Schüle</w:t>
      </w:r>
      <w:r>
        <w:rPr>
          <w:sz w:val="28"/>
          <w:szCs w:val="28"/>
        </w:rPr>
        <w:t xml:space="preserve">r*innen mit sonderpädagogischem </w:t>
      </w:r>
      <w:r w:rsidR="004E17A2">
        <w:rPr>
          <w:sz w:val="28"/>
          <w:szCs w:val="28"/>
        </w:rPr>
        <w:t>Förderbedarf in allgemeinen Schulen</w:t>
      </w:r>
      <w:r>
        <w:rPr>
          <w:sz w:val="28"/>
          <w:szCs w:val="28"/>
        </w:rPr>
        <w:t xml:space="preserve"> (AS)</w:t>
      </w:r>
    </w:p>
    <w:p w:rsidR="004E17A2" w:rsidRDefault="00D647EA" w:rsidP="004E17A2">
      <w:pPr>
        <w:ind w:left="-850"/>
        <w:rPr>
          <w:sz w:val="28"/>
          <w:szCs w:val="28"/>
        </w:rPr>
      </w:pPr>
      <w:r>
        <w:rPr>
          <w:sz w:val="28"/>
          <w:szCs w:val="28"/>
        </w:rPr>
        <w:t>3)</w:t>
      </w:r>
      <w:r w:rsidR="004E17A2">
        <w:rPr>
          <w:sz w:val="28"/>
          <w:szCs w:val="28"/>
        </w:rPr>
        <w:t>Schüler*innen mit sonderpädagogischen Förderbedarf in Förderschulen</w:t>
      </w:r>
      <w:r>
        <w:rPr>
          <w:sz w:val="28"/>
          <w:szCs w:val="28"/>
        </w:rPr>
        <w:t xml:space="preserve"> (FS)</w:t>
      </w:r>
    </w:p>
    <w:p w:rsidR="00D647EA" w:rsidRDefault="00D647EA">
      <w:pPr>
        <w:rPr>
          <w:sz w:val="28"/>
          <w:szCs w:val="28"/>
        </w:rPr>
      </w:pPr>
    </w:p>
    <w:sectPr w:rsidR="00D647EA" w:rsidSect="00363A3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72" w:rsidRDefault="00CB4972" w:rsidP="001C2562">
      <w:r>
        <w:separator/>
      </w:r>
    </w:p>
  </w:endnote>
  <w:endnote w:type="continuationSeparator" w:id="0">
    <w:p w:rsidR="00CB4972" w:rsidRDefault="00CB4972" w:rsidP="001C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38" w:rsidRDefault="00363A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132349"/>
      <w:docPartObj>
        <w:docPartGallery w:val="Page Numbers (Bottom of Page)"/>
        <w:docPartUnique/>
      </w:docPartObj>
    </w:sdtPr>
    <w:sdtEndPr/>
    <w:sdtContent>
      <w:p w:rsidR="00E51034" w:rsidRDefault="00E51034">
        <w:pPr>
          <w:pStyle w:val="Fuzeile"/>
          <w:jc w:val="center"/>
        </w:pPr>
      </w:p>
      <w:p w:rsidR="00E51034" w:rsidRDefault="00E51034">
        <w:pPr>
          <w:pStyle w:val="Fuzeile"/>
          <w:jc w:val="center"/>
        </w:pPr>
        <w:r>
          <w:fldChar w:fldCharType="begin"/>
        </w:r>
        <w:r>
          <w:instrText>PAGE   \* MERGEFORMAT</w:instrText>
        </w:r>
        <w:r>
          <w:fldChar w:fldCharType="separate"/>
        </w:r>
        <w:r w:rsidR="00397E7B">
          <w:rPr>
            <w:noProof/>
          </w:rPr>
          <w:t>19</w:t>
        </w:r>
        <w:r>
          <w:fldChar w:fldCharType="end"/>
        </w:r>
      </w:p>
    </w:sdtContent>
  </w:sdt>
  <w:p w:rsidR="00E51034" w:rsidRDefault="00E510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38" w:rsidRDefault="00363A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72" w:rsidRDefault="00CB4972" w:rsidP="001C2562">
      <w:r>
        <w:separator/>
      </w:r>
    </w:p>
  </w:footnote>
  <w:footnote w:type="continuationSeparator" w:id="0">
    <w:p w:rsidR="00CB4972" w:rsidRDefault="00CB4972" w:rsidP="001C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38" w:rsidRDefault="00363A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38" w:rsidRDefault="00363A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38" w:rsidRDefault="00363A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D9C"/>
    <w:multiLevelType w:val="hybridMultilevel"/>
    <w:tmpl w:val="CB6A4D6C"/>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8F672C"/>
    <w:multiLevelType w:val="hybridMultilevel"/>
    <w:tmpl w:val="929E57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781438"/>
    <w:multiLevelType w:val="hybridMultilevel"/>
    <w:tmpl w:val="F280DAA0"/>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49081B"/>
    <w:multiLevelType w:val="hybridMultilevel"/>
    <w:tmpl w:val="653E6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BD4214"/>
    <w:multiLevelType w:val="hybridMultilevel"/>
    <w:tmpl w:val="653E6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1252DC"/>
    <w:multiLevelType w:val="hybridMultilevel"/>
    <w:tmpl w:val="1E948118"/>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503F1C"/>
    <w:multiLevelType w:val="hybridMultilevel"/>
    <w:tmpl w:val="AB7075F2"/>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23"/>
    <w:rsid w:val="000021B5"/>
    <w:rsid w:val="000218F9"/>
    <w:rsid w:val="000519FD"/>
    <w:rsid w:val="00061165"/>
    <w:rsid w:val="00066903"/>
    <w:rsid w:val="00067861"/>
    <w:rsid w:val="00094CBA"/>
    <w:rsid w:val="000B79CA"/>
    <w:rsid w:val="000F3EE5"/>
    <w:rsid w:val="000F3FB4"/>
    <w:rsid w:val="000F40EB"/>
    <w:rsid w:val="00100E9A"/>
    <w:rsid w:val="00122D6E"/>
    <w:rsid w:val="00142C02"/>
    <w:rsid w:val="00151749"/>
    <w:rsid w:val="00162C85"/>
    <w:rsid w:val="00170C75"/>
    <w:rsid w:val="00184B50"/>
    <w:rsid w:val="00186E92"/>
    <w:rsid w:val="001A62C3"/>
    <w:rsid w:val="001A66B3"/>
    <w:rsid w:val="001C2562"/>
    <w:rsid w:val="001C59DA"/>
    <w:rsid w:val="001E0343"/>
    <w:rsid w:val="001F1286"/>
    <w:rsid w:val="002061BB"/>
    <w:rsid w:val="002167F6"/>
    <w:rsid w:val="0023722A"/>
    <w:rsid w:val="0024580A"/>
    <w:rsid w:val="002473BB"/>
    <w:rsid w:val="00255664"/>
    <w:rsid w:val="00284219"/>
    <w:rsid w:val="002911F2"/>
    <w:rsid w:val="002912B0"/>
    <w:rsid w:val="002964EE"/>
    <w:rsid w:val="002C5079"/>
    <w:rsid w:val="002C531A"/>
    <w:rsid w:val="002C6A95"/>
    <w:rsid w:val="002C75DC"/>
    <w:rsid w:val="002E1D25"/>
    <w:rsid w:val="002E7174"/>
    <w:rsid w:val="00325961"/>
    <w:rsid w:val="00337C05"/>
    <w:rsid w:val="00346C35"/>
    <w:rsid w:val="003478F4"/>
    <w:rsid w:val="00363A38"/>
    <w:rsid w:val="00383A62"/>
    <w:rsid w:val="00386B8F"/>
    <w:rsid w:val="00397E7B"/>
    <w:rsid w:val="003A5EBC"/>
    <w:rsid w:val="003B25AA"/>
    <w:rsid w:val="003D0CEA"/>
    <w:rsid w:val="003E5294"/>
    <w:rsid w:val="003F1671"/>
    <w:rsid w:val="004232E7"/>
    <w:rsid w:val="00453B82"/>
    <w:rsid w:val="00454880"/>
    <w:rsid w:val="0046171B"/>
    <w:rsid w:val="004746A7"/>
    <w:rsid w:val="004E17A2"/>
    <w:rsid w:val="004F1BAC"/>
    <w:rsid w:val="004F31DF"/>
    <w:rsid w:val="004F3EC2"/>
    <w:rsid w:val="0054163C"/>
    <w:rsid w:val="0055765F"/>
    <w:rsid w:val="005617D7"/>
    <w:rsid w:val="00562F35"/>
    <w:rsid w:val="00571419"/>
    <w:rsid w:val="00595E8F"/>
    <w:rsid w:val="005C3AB5"/>
    <w:rsid w:val="005C6C80"/>
    <w:rsid w:val="00627B1C"/>
    <w:rsid w:val="0063549A"/>
    <w:rsid w:val="00642A28"/>
    <w:rsid w:val="00650269"/>
    <w:rsid w:val="00667738"/>
    <w:rsid w:val="006730BF"/>
    <w:rsid w:val="00675133"/>
    <w:rsid w:val="006B4152"/>
    <w:rsid w:val="006B5DDD"/>
    <w:rsid w:val="006C04EF"/>
    <w:rsid w:val="006D3D31"/>
    <w:rsid w:val="006E12F6"/>
    <w:rsid w:val="006E223D"/>
    <w:rsid w:val="006E53CF"/>
    <w:rsid w:val="006E562E"/>
    <w:rsid w:val="0073402C"/>
    <w:rsid w:val="007449ED"/>
    <w:rsid w:val="00764E4B"/>
    <w:rsid w:val="007938A4"/>
    <w:rsid w:val="007C2DFA"/>
    <w:rsid w:val="007C30FC"/>
    <w:rsid w:val="007C404A"/>
    <w:rsid w:val="007E5BF5"/>
    <w:rsid w:val="007E7F6F"/>
    <w:rsid w:val="00805212"/>
    <w:rsid w:val="00817AF5"/>
    <w:rsid w:val="00823723"/>
    <w:rsid w:val="008411A9"/>
    <w:rsid w:val="00864143"/>
    <w:rsid w:val="008668B4"/>
    <w:rsid w:val="008834F9"/>
    <w:rsid w:val="008A2471"/>
    <w:rsid w:val="008A2B34"/>
    <w:rsid w:val="008A35B8"/>
    <w:rsid w:val="008B5062"/>
    <w:rsid w:val="008C3AB5"/>
    <w:rsid w:val="00937645"/>
    <w:rsid w:val="0097280B"/>
    <w:rsid w:val="0098439B"/>
    <w:rsid w:val="009A3965"/>
    <w:rsid w:val="009D6F77"/>
    <w:rsid w:val="00A02087"/>
    <w:rsid w:val="00A151CC"/>
    <w:rsid w:val="00A2395E"/>
    <w:rsid w:val="00A34010"/>
    <w:rsid w:val="00A37E30"/>
    <w:rsid w:val="00A54949"/>
    <w:rsid w:val="00A74051"/>
    <w:rsid w:val="00A844F6"/>
    <w:rsid w:val="00AA155A"/>
    <w:rsid w:val="00AC6333"/>
    <w:rsid w:val="00B41961"/>
    <w:rsid w:val="00B448CA"/>
    <w:rsid w:val="00B601CA"/>
    <w:rsid w:val="00B62E33"/>
    <w:rsid w:val="00B633E1"/>
    <w:rsid w:val="00B8250E"/>
    <w:rsid w:val="00C137E1"/>
    <w:rsid w:val="00C3143E"/>
    <w:rsid w:val="00C521DD"/>
    <w:rsid w:val="00C73C69"/>
    <w:rsid w:val="00CB23CB"/>
    <w:rsid w:val="00CB4972"/>
    <w:rsid w:val="00CC477F"/>
    <w:rsid w:val="00CD2326"/>
    <w:rsid w:val="00CE0992"/>
    <w:rsid w:val="00D14B35"/>
    <w:rsid w:val="00D2055A"/>
    <w:rsid w:val="00D34C9C"/>
    <w:rsid w:val="00D647EA"/>
    <w:rsid w:val="00D7774F"/>
    <w:rsid w:val="00D80EA8"/>
    <w:rsid w:val="00DA3215"/>
    <w:rsid w:val="00DA4216"/>
    <w:rsid w:val="00DC059D"/>
    <w:rsid w:val="00DD4C0B"/>
    <w:rsid w:val="00DF0974"/>
    <w:rsid w:val="00E117EE"/>
    <w:rsid w:val="00E201B8"/>
    <w:rsid w:val="00E243D1"/>
    <w:rsid w:val="00E2498C"/>
    <w:rsid w:val="00E51034"/>
    <w:rsid w:val="00E75527"/>
    <w:rsid w:val="00E924BD"/>
    <w:rsid w:val="00E92EF8"/>
    <w:rsid w:val="00EB17B2"/>
    <w:rsid w:val="00EB4048"/>
    <w:rsid w:val="00EC3106"/>
    <w:rsid w:val="00F00C7E"/>
    <w:rsid w:val="00F215CC"/>
    <w:rsid w:val="00F619B1"/>
    <w:rsid w:val="00F66C2F"/>
    <w:rsid w:val="00F71CB6"/>
    <w:rsid w:val="00F766D2"/>
    <w:rsid w:val="00F8007D"/>
    <w:rsid w:val="00FB6B80"/>
    <w:rsid w:val="00FC2AEF"/>
    <w:rsid w:val="00FC6F59"/>
    <w:rsid w:val="00FD1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A397"/>
  <w15:chartTrackingRefBased/>
  <w15:docId w15:val="{1224FBFC-F89B-45AD-8332-340A64E1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32E7"/>
    <w:pPr>
      <w:ind w:left="720"/>
      <w:contextualSpacing/>
    </w:pPr>
  </w:style>
  <w:style w:type="table" w:styleId="Tabellenraster">
    <w:name w:val="Table Grid"/>
    <w:basedOn w:val="NormaleTabelle"/>
    <w:uiPriority w:val="39"/>
    <w:rsid w:val="00D2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2562"/>
    <w:pPr>
      <w:tabs>
        <w:tab w:val="center" w:pos="4536"/>
        <w:tab w:val="right" w:pos="9072"/>
      </w:tabs>
    </w:pPr>
  </w:style>
  <w:style w:type="character" w:customStyle="1" w:styleId="KopfzeileZchn">
    <w:name w:val="Kopfzeile Zchn"/>
    <w:basedOn w:val="Absatz-Standardschriftart"/>
    <w:link w:val="Kopfzeile"/>
    <w:uiPriority w:val="99"/>
    <w:rsid w:val="001C2562"/>
  </w:style>
  <w:style w:type="paragraph" w:styleId="Fuzeile">
    <w:name w:val="footer"/>
    <w:basedOn w:val="Standard"/>
    <w:link w:val="FuzeileZchn"/>
    <w:uiPriority w:val="99"/>
    <w:unhideWhenUsed/>
    <w:rsid w:val="001C2562"/>
    <w:pPr>
      <w:tabs>
        <w:tab w:val="center" w:pos="4536"/>
        <w:tab w:val="right" w:pos="9072"/>
      </w:tabs>
    </w:pPr>
  </w:style>
  <w:style w:type="character" w:customStyle="1" w:styleId="FuzeileZchn">
    <w:name w:val="Fußzeile Zchn"/>
    <w:basedOn w:val="Absatz-Standardschriftart"/>
    <w:link w:val="Fuzeile"/>
    <w:uiPriority w:val="99"/>
    <w:rsid w:val="001C2562"/>
  </w:style>
  <w:style w:type="paragraph" w:styleId="Sprechblasentext">
    <w:name w:val="Balloon Text"/>
    <w:basedOn w:val="Standard"/>
    <w:link w:val="SprechblasentextZchn"/>
    <w:uiPriority w:val="99"/>
    <w:semiHidden/>
    <w:unhideWhenUsed/>
    <w:rsid w:val="000B79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5253">
      <w:bodyDiv w:val="1"/>
      <w:marLeft w:val="0"/>
      <w:marRight w:val="0"/>
      <w:marTop w:val="0"/>
      <w:marBottom w:val="0"/>
      <w:divBdr>
        <w:top w:val="none" w:sz="0" w:space="0" w:color="auto"/>
        <w:left w:val="none" w:sz="0" w:space="0" w:color="auto"/>
        <w:bottom w:val="none" w:sz="0" w:space="0" w:color="auto"/>
        <w:right w:val="none" w:sz="0" w:space="0" w:color="auto"/>
      </w:divBdr>
    </w:div>
    <w:div w:id="108354598">
      <w:bodyDiv w:val="1"/>
      <w:marLeft w:val="0"/>
      <w:marRight w:val="0"/>
      <w:marTop w:val="0"/>
      <w:marBottom w:val="0"/>
      <w:divBdr>
        <w:top w:val="none" w:sz="0" w:space="0" w:color="auto"/>
        <w:left w:val="none" w:sz="0" w:space="0" w:color="auto"/>
        <w:bottom w:val="none" w:sz="0" w:space="0" w:color="auto"/>
        <w:right w:val="none" w:sz="0" w:space="0" w:color="auto"/>
      </w:divBdr>
    </w:div>
    <w:div w:id="309211272">
      <w:bodyDiv w:val="1"/>
      <w:marLeft w:val="0"/>
      <w:marRight w:val="0"/>
      <w:marTop w:val="0"/>
      <w:marBottom w:val="0"/>
      <w:divBdr>
        <w:top w:val="none" w:sz="0" w:space="0" w:color="auto"/>
        <w:left w:val="none" w:sz="0" w:space="0" w:color="auto"/>
        <w:bottom w:val="none" w:sz="0" w:space="0" w:color="auto"/>
        <w:right w:val="none" w:sz="0" w:space="0" w:color="auto"/>
      </w:divBdr>
    </w:div>
    <w:div w:id="460542813">
      <w:bodyDiv w:val="1"/>
      <w:marLeft w:val="0"/>
      <w:marRight w:val="0"/>
      <w:marTop w:val="0"/>
      <w:marBottom w:val="0"/>
      <w:divBdr>
        <w:top w:val="none" w:sz="0" w:space="0" w:color="auto"/>
        <w:left w:val="none" w:sz="0" w:space="0" w:color="auto"/>
        <w:bottom w:val="none" w:sz="0" w:space="0" w:color="auto"/>
        <w:right w:val="none" w:sz="0" w:space="0" w:color="auto"/>
      </w:divBdr>
    </w:div>
    <w:div w:id="588270692">
      <w:bodyDiv w:val="1"/>
      <w:marLeft w:val="0"/>
      <w:marRight w:val="0"/>
      <w:marTop w:val="0"/>
      <w:marBottom w:val="0"/>
      <w:divBdr>
        <w:top w:val="none" w:sz="0" w:space="0" w:color="auto"/>
        <w:left w:val="none" w:sz="0" w:space="0" w:color="auto"/>
        <w:bottom w:val="none" w:sz="0" w:space="0" w:color="auto"/>
        <w:right w:val="none" w:sz="0" w:space="0" w:color="auto"/>
      </w:divBdr>
    </w:div>
    <w:div w:id="776102789">
      <w:bodyDiv w:val="1"/>
      <w:marLeft w:val="0"/>
      <w:marRight w:val="0"/>
      <w:marTop w:val="0"/>
      <w:marBottom w:val="0"/>
      <w:divBdr>
        <w:top w:val="none" w:sz="0" w:space="0" w:color="auto"/>
        <w:left w:val="none" w:sz="0" w:space="0" w:color="auto"/>
        <w:bottom w:val="none" w:sz="0" w:space="0" w:color="auto"/>
        <w:right w:val="none" w:sz="0" w:space="0" w:color="auto"/>
      </w:divBdr>
    </w:div>
    <w:div w:id="843277852">
      <w:bodyDiv w:val="1"/>
      <w:marLeft w:val="0"/>
      <w:marRight w:val="0"/>
      <w:marTop w:val="0"/>
      <w:marBottom w:val="0"/>
      <w:divBdr>
        <w:top w:val="none" w:sz="0" w:space="0" w:color="auto"/>
        <w:left w:val="none" w:sz="0" w:space="0" w:color="auto"/>
        <w:bottom w:val="none" w:sz="0" w:space="0" w:color="auto"/>
        <w:right w:val="none" w:sz="0" w:space="0" w:color="auto"/>
      </w:divBdr>
    </w:div>
    <w:div w:id="1022586536">
      <w:bodyDiv w:val="1"/>
      <w:marLeft w:val="0"/>
      <w:marRight w:val="0"/>
      <w:marTop w:val="0"/>
      <w:marBottom w:val="0"/>
      <w:divBdr>
        <w:top w:val="none" w:sz="0" w:space="0" w:color="auto"/>
        <w:left w:val="none" w:sz="0" w:space="0" w:color="auto"/>
        <w:bottom w:val="none" w:sz="0" w:space="0" w:color="auto"/>
        <w:right w:val="none" w:sz="0" w:space="0" w:color="auto"/>
      </w:divBdr>
    </w:div>
    <w:div w:id="1031686304">
      <w:bodyDiv w:val="1"/>
      <w:marLeft w:val="0"/>
      <w:marRight w:val="0"/>
      <w:marTop w:val="0"/>
      <w:marBottom w:val="0"/>
      <w:divBdr>
        <w:top w:val="none" w:sz="0" w:space="0" w:color="auto"/>
        <w:left w:val="none" w:sz="0" w:space="0" w:color="auto"/>
        <w:bottom w:val="none" w:sz="0" w:space="0" w:color="auto"/>
        <w:right w:val="none" w:sz="0" w:space="0" w:color="auto"/>
      </w:divBdr>
    </w:div>
    <w:div w:id="1091120392">
      <w:bodyDiv w:val="1"/>
      <w:marLeft w:val="0"/>
      <w:marRight w:val="0"/>
      <w:marTop w:val="0"/>
      <w:marBottom w:val="0"/>
      <w:divBdr>
        <w:top w:val="none" w:sz="0" w:space="0" w:color="auto"/>
        <w:left w:val="none" w:sz="0" w:space="0" w:color="auto"/>
        <w:bottom w:val="none" w:sz="0" w:space="0" w:color="auto"/>
        <w:right w:val="none" w:sz="0" w:space="0" w:color="auto"/>
      </w:divBdr>
    </w:div>
    <w:div w:id="1569070268">
      <w:bodyDiv w:val="1"/>
      <w:marLeft w:val="0"/>
      <w:marRight w:val="0"/>
      <w:marTop w:val="0"/>
      <w:marBottom w:val="0"/>
      <w:divBdr>
        <w:top w:val="none" w:sz="0" w:space="0" w:color="auto"/>
        <w:left w:val="none" w:sz="0" w:space="0" w:color="auto"/>
        <w:bottom w:val="none" w:sz="0" w:space="0" w:color="auto"/>
        <w:right w:val="none" w:sz="0" w:space="0" w:color="auto"/>
      </w:divBdr>
    </w:div>
    <w:div w:id="1589730272">
      <w:bodyDiv w:val="1"/>
      <w:marLeft w:val="0"/>
      <w:marRight w:val="0"/>
      <w:marTop w:val="0"/>
      <w:marBottom w:val="0"/>
      <w:divBdr>
        <w:top w:val="none" w:sz="0" w:space="0" w:color="auto"/>
        <w:left w:val="none" w:sz="0" w:space="0" w:color="auto"/>
        <w:bottom w:val="none" w:sz="0" w:space="0" w:color="auto"/>
        <w:right w:val="none" w:sz="0" w:space="0" w:color="auto"/>
      </w:divBdr>
    </w:div>
    <w:div w:id="1814515735">
      <w:bodyDiv w:val="1"/>
      <w:marLeft w:val="0"/>
      <w:marRight w:val="0"/>
      <w:marTop w:val="0"/>
      <w:marBottom w:val="0"/>
      <w:divBdr>
        <w:top w:val="none" w:sz="0" w:space="0" w:color="auto"/>
        <w:left w:val="none" w:sz="0" w:space="0" w:color="auto"/>
        <w:bottom w:val="none" w:sz="0" w:space="0" w:color="auto"/>
        <w:right w:val="none" w:sz="0" w:space="0" w:color="auto"/>
      </w:divBdr>
    </w:div>
    <w:div w:id="1852910743">
      <w:bodyDiv w:val="1"/>
      <w:marLeft w:val="0"/>
      <w:marRight w:val="0"/>
      <w:marTop w:val="0"/>
      <w:marBottom w:val="0"/>
      <w:divBdr>
        <w:top w:val="none" w:sz="0" w:space="0" w:color="auto"/>
        <w:left w:val="none" w:sz="0" w:space="0" w:color="auto"/>
        <w:bottom w:val="none" w:sz="0" w:space="0" w:color="auto"/>
        <w:right w:val="none" w:sz="0" w:space="0" w:color="auto"/>
      </w:divBdr>
    </w:div>
    <w:div w:id="2091147604">
      <w:bodyDiv w:val="1"/>
      <w:marLeft w:val="0"/>
      <w:marRight w:val="0"/>
      <w:marTop w:val="0"/>
      <w:marBottom w:val="0"/>
      <w:divBdr>
        <w:top w:val="none" w:sz="0" w:space="0" w:color="auto"/>
        <w:left w:val="none" w:sz="0" w:space="0" w:color="auto"/>
        <w:bottom w:val="none" w:sz="0" w:space="0" w:color="auto"/>
        <w:right w:val="none" w:sz="0" w:space="0" w:color="auto"/>
      </w:divBdr>
    </w:div>
    <w:div w:id="2135058961">
      <w:bodyDiv w:val="1"/>
      <w:marLeft w:val="0"/>
      <w:marRight w:val="120"/>
      <w:marTop w:val="0"/>
      <w:marBottom w:val="0"/>
      <w:divBdr>
        <w:top w:val="none" w:sz="0" w:space="0" w:color="auto"/>
        <w:left w:val="none" w:sz="0" w:space="0" w:color="auto"/>
        <w:bottom w:val="none" w:sz="0" w:space="0" w:color="auto"/>
        <w:right w:val="none" w:sz="0" w:space="0" w:color="auto"/>
      </w:divBdr>
      <w:divsChild>
        <w:div w:id="100671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57E3-D5EA-4103-B5BD-329FE883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3501</Words>
  <Characters>22060</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38</cp:revision>
  <cp:lastPrinted>2020-09-20T09:49:00Z</cp:lastPrinted>
  <dcterms:created xsi:type="dcterms:W3CDTF">2020-09-17T14:24:00Z</dcterms:created>
  <dcterms:modified xsi:type="dcterms:W3CDTF">2020-09-21T07:31:00Z</dcterms:modified>
</cp:coreProperties>
</file>