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44" w:rsidRPr="00D23E2C" w:rsidRDefault="00390744" w:rsidP="00390744">
      <w:pPr>
        <w:rPr>
          <w:b/>
          <w:sz w:val="32"/>
          <w:szCs w:val="32"/>
        </w:rPr>
      </w:pPr>
      <w:r w:rsidRPr="00D23E2C">
        <w:rPr>
          <w:b/>
          <w:sz w:val="32"/>
          <w:szCs w:val="32"/>
        </w:rPr>
        <w:t>Teil 4: Inklusive Diagnostik: Konstruktion von Förderbedarfen</w:t>
      </w:r>
    </w:p>
    <w:p w:rsidR="00390744" w:rsidRDefault="00DC785C" w:rsidP="00390744">
      <w:pPr>
        <w:rPr>
          <w:sz w:val="28"/>
          <w:szCs w:val="28"/>
        </w:rPr>
      </w:pPr>
      <w:r>
        <w:rPr>
          <w:sz w:val="28"/>
          <w:szCs w:val="28"/>
        </w:rPr>
        <w:t>Entwicklung</w:t>
      </w:r>
      <w:r w:rsidR="00390744">
        <w:rPr>
          <w:sz w:val="28"/>
          <w:szCs w:val="28"/>
        </w:rPr>
        <w:t xml:space="preserve"> der Schülerschaft mit sonderpädagogischem Förderbedarf</w:t>
      </w:r>
      <w:r w:rsidR="000F4D4E">
        <w:rPr>
          <w:sz w:val="28"/>
          <w:szCs w:val="28"/>
        </w:rPr>
        <w:t xml:space="preserve"> </w:t>
      </w:r>
    </w:p>
    <w:p w:rsidR="00DC785C" w:rsidRDefault="00DC785C" w:rsidP="00390744">
      <w:pPr>
        <w:rPr>
          <w:sz w:val="28"/>
          <w:szCs w:val="28"/>
        </w:rPr>
      </w:pPr>
    </w:p>
    <w:p w:rsidR="00DC785C" w:rsidRDefault="00DC785C" w:rsidP="00390744">
      <w:pPr>
        <w:rPr>
          <w:sz w:val="28"/>
          <w:szCs w:val="28"/>
        </w:rPr>
      </w:pPr>
      <w:r>
        <w:rPr>
          <w:sz w:val="28"/>
          <w:szCs w:val="28"/>
        </w:rPr>
        <w:t xml:space="preserve">von </w:t>
      </w:r>
      <w:r w:rsidRPr="00DC785C">
        <w:rPr>
          <w:i/>
          <w:sz w:val="28"/>
          <w:szCs w:val="28"/>
        </w:rPr>
        <w:t>Hans Wocken</w:t>
      </w:r>
    </w:p>
    <w:p w:rsidR="00390744" w:rsidRDefault="00390744" w:rsidP="00390744">
      <w:pPr>
        <w:rPr>
          <w:sz w:val="28"/>
          <w:szCs w:val="28"/>
        </w:rPr>
      </w:pPr>
    </w:p>
    <w:p w:rsidR="00C3329A" w:rsidRDefault="00C3329A"/>
    <w:p w:rsidR="00390744" w:rsidRPr="00D23E2C" w:rsidRDefault="00D23E2C">
      <w:pPr>
        <w:rPr>
          <w:b/>
          <w:sz w:val="28"/>
          <w:szCs w:val="28"/>
        </w:rPr>
      </w:pPr>
      <w:r w:rsidRPr="00D23E2C">
        <w:rPr>
          <w:b/>
          <w:sz w:val="28"/>
          <w:szCs w:val="28"/>
        </w:rPr>
        <w:t xml:space="preserve">4.1 </w:t>
      </w:r>
      <w:r w:rsidR="00374513">
        <w:rPr>
          <w:b/>
          <w:sz w:val="28"/>
          <w:szCs w:val="28"/>
        </w:rPr>
        <w:t>Theoretische Rahmung</w:t>
      </w:r>
    </w:p>
    <w:p w:rsidR="00390744" w:rsidRDefault="00390744">
      <w:pPr>
        <w:rPr>
          <w:i/>
          <w:sz w:val="28"/>
          <w:szCs w:val="28"/>
        </w:rPr>
      </w:pPr>
    </w:p>
    <w:p w:rsidR="00390744" w:rsidRDefault="0039064E">
      <w:pPr>
        <w:rPr>
          <w:sz w:val="28"/>
          <w:szCs w:val="28"/>
        </w:rPr>
      </w:pPr>
      <w:r>
        <w:rPr>
          <w:sz w:val="28"/>
          <w:szCs w:val="28"/>
        </w:rPr>
        <w:t xml:space="preserve">Die Diagnostik sonderpädagogischer Förderbedarfe ist den wissenschaftlichen Gütekriterien Objektivität, Reliabilität und Validität verpflichtet. Objektivität meint u.a., dass </w:t>
      </w:r>
      <w:r w:rsidR="00C611B4">
        <w:rPr>
          <w:sz w:val="28"/>
          <w:szCs w:val="28"/>
        </w:rPr>
        <w:t xml:space="preserve">alle </w:t>
      </w:r>
      <w:r>
        <w:rPr>
          <w:sz w:val="28"/>
          <w:szCs w:val="28"/>
        </w:rPr>
        <w:t>involvierte</w:t>
      </w:r>
      <w:r w:rsidR="00C611B4">
        <w:rPr>
          <w:sz w:val="28"/>
          <w:szCs w:val="28"/>
        </w:rPr>
        <w:t>n</w:t>
      </w:r>
      <w:r>
        <w:rPr>
          <w:sz w:val="28"/>
          <w:szCs w:val="28"/>
        </w:rPr>
        <w:t xml:space="preserve"> Personen keinen Einfluss auf das Untersuchungsergebnis haben dürfen</w:t>
      </w:r>
      <w:r w:rsidR="00C611B4">
        <w:rPr>
          <w:sz w:val="28"/>
          <w:szCs w:val="28"/>
        </w:rPr>
        <w:t xml:space="preserve">. Die Diagnose muss sowohl von den Dispositionen der Testleiter als auch von den Interessen der </w:t>
      </w:r>
      <w:r>
        <w:rPr>
          <w:sz w:val="28"/>
          <w:szCs w:val="28"/>
        </w:rPr>
        <w:t xml:space="preserve">Auftraggeber </w:t>
      </w:r>
      <w:r w:rsidR="00C611B4">
        <w:rPr>
          <w:sz w:val="28"/>
          <w:szCs w:val="28"/>
        </w:rPr>
        <w:t xml:space="preserve">unabhängig sein. Das Kriterium Reliabilität will die Zuverlässigkeit absichern. </w:t>
      </w:r>
      <w:r w:rsidR="00CC400D">
        <w:rPr>
          <w:sz w:val="28"/>
          <w:szCs w:val="28"/>
        </w:rPr>
        <w:t xml:space="preserve">Insoweit das zu diagnostizierende Persönlichkeitsmerkmal als relativ stabil angenommen werden kann, im gleichen Maße müssen auch </w:t>
      </w:r>
      <w:r w:rsidR="00190F15">
        <w:rPr>
          <w:sz w:val="28"/>
          <w:szCs w:val="28"/>
        </w:rPr>
        <w:t xml:space="preserve">die </w:t>
      </w:r>
      <w:r w:rsidR="00CC400D">
        <w:rPr>
          <w:sz w:val="28"/>
          <w:szCs w:val="28"/>
        </w:rPr>
        <w:t>diagnostische</w:t>
      </w:r>
      <w:r w:rsidR="00190F15">
        <w:rPr>
          <w:sz w:val="28"/>
          <w:szCs w:val="28"/>
        </w:rPr>
        <w:t>n</w:t>
      </w:r>
      <w:r w:rsidR="00CC400D">
        <w:rPr>
          <w:sz w:val="28"/>
          <w:szCs w:val="28"/>
        </w:rPr>
        <w:t xml:space="preserve"> Messungen zu verschiedenen Zeitpunkten zu gleichen Ergebnissen kommen. Validität als testdiagnostisches Gütekriterium setzt voraus, dass das zu untersuchende Konstrukt zweifelsfrei definiert ist. Wenn etwa für das Konstrukt „sonderpädagogischer Förderbedarf“ </w:t>
      </w:r>
      <w:r w:rsidR="000D21CB">
        <w:rPr>
          <w:sz w:val="28"/>
          <w:szCs w:val="28"/>
        </w:rPr>
        <w:t>keine operationalisierten Kriterien</w:t>
      </w:r>
      <w:r w:rsidR="00CC400D">
        <w:rPr>
          <w:sz w:val="28"/>
          <w:szCs w:val="28"/>
        </w:rPr>
        <w:t xml:space="preserve"> vorliegen</w:t>
      </w:r>
      <w:r w:rsidR="00190F15">
        <w:rPr>
          <w:sz w:val="28"/>
          <w:szCs w:val="28"/>
        </w:rPr>
        <w:t xml:space="preserve">, dürften kaum </w:t>
      </w:r>
      <w:r w:rsidR="00841C8F">
        <w:rPr>
          <w:sz w:val="28"/>
          <w:szCs w:val="28"/>
        </w:rPr>
        <w:t>valide Diagnosen erwartet werden.</w:t>
      </w:r>
    </w:p>
    <w:p w:rsidR="00841C8F" w:rsidRDefault="00841C8F">
      <w:pPr>
        <w:rPr>
          <w:sz w:val="28"/>
          <w:szCs w:val="28"/>
        </w:rPr>
      </w:pPr>
    </w:p>
    <w:p w:rsidR="00190F15" w:rsidRDefault="00841C8F">
      <w:pPr>
        <w:rPr>
          <w:sz w:val="28"/>
          <w:szCs w:val="28"/>
        </w:rPr>
      </w:pPr>
      <w:r>
        <w:rPr>
          <w:sz w:val="28"/>
          <w:szCs w:val="28"/>
        </w:rPr>
        <w:t xml:space="preserve">Im Zuge der Inklusionsreform ist die Diagnostik sonderpädagogischer Förderbedarfe mächtig ins Schwimmen geraten. </w:t>
      </w:r>
      <w:r w:rsidR="000D21CB">
        <w:rPr>
          <w:sz w:val="28"/>
          <w:szCs w:val="28"/>
        </w:rPr>
        <w:t>Ein signifikantes Indiz</w:t>
      </w:r>
      <w:r w:rsidR="006C1F24">
        <w:rPr>
          <w:sz w:val="28"/>
          <w:szCs w:val="28"/>
        </w:rPr>
        <w:t xml:space="preserve"> für eine sonderpädagogische Diagnostik, die den Tugendpfad wissenschaftlicher Gütekriterien verlassen hat, ist die sog. „Et</w:t>
      </w:r>
      <w:r w:rsidR="00374513">
        <w:rPr>
          <w:sz w:val="28"/>
          <w:szCs w:val="28"/>
        </w:rPr>
        <w:t>ikettierungsschwemme“ (Wocken 2017</w:t>
      </w:r>
      <w:r w:rsidR="006C1F24">
        <w:rPr>
          <w:sz w:val="28"/>
          <w:szCs w:val="28"/>
        </w:rPr>
        <w:t>). Etikettierun</w:t>
      </w:r>
      <w:r w:rsidR="00190F15">
        <w:rPr>
          <w:sz w:val="28"/>
          <w:szCs w:val="28"/>
        </w:rPr>
        <w:t>gsschwemme meint die expansive</w:t>
      </w:r>
      <w:r w:rsidR="006C1F24">
        <w:rPr>
          <w:sz w:val="28"/>
          <w:szCs w:val="28"/>
        </w:rPr>
        <w:t xml:space="preserve"> Vermehrung von sonderpädagogischen Förderbedarfen</w:t>
      </w:r>
      <w:r w:rsidR="00AE5A37">
        <w:rPr>
          <w:sz w:val="28"/>
          <w:szCs w:val="28"/>
        </w:rPr>
        <w:t xml:space="preserve"> durch eine unkontrollierte, enthemmte diagnostische Etikettierung</w:t>
      </w:r>
      <w:r w:rsidR="006C1F24">
        <w:rPr>
          <w:sz w:val="28"/>
          <w:szCs w:val="28"/>
        </w:rPr>
        <w:t xml:space="preserve">. </w:t>
      </w:r>
      <w:r w:rsidR="00190F15">
        <w:rPr>
          <w:sz w:val="28"/>
          <w:szCs w:val="28"/>
        </w:rPr>
        <w:t xml:space="preserve">In der gesamten Bundesrepublik (BRD) betrug im Schuljahr 2008/09 </w:t>
      </w:r>
      <w:r w:rsidR="000243DF">
        <w:rPr>
          <w:sz w:val="28"/>
          <w:szCs w:val="28"/>
        </w:rPr>
        <w:t>die Zahl der Schüler*innen mit sonderpädagogischem Förderbedarf in Förderschulen und in allgemeinen Schulen (ohne Kranke) 472.366. Zehn Jahre später waren es dann 544.640 Schüler*innen mit sonderpädagogischem Förderbe</w:t>
      </w:r>
      <w:r w:rsidR="00800F4F">
        <w:rPr>
          <w:sz w:val="28"/>
          <w:szCs w:val="28"/>
        </w:rPr>
        <w:t xml:space="preserve">darf </w:t>
      </w:r>
      <w:r w:rsidR="00800F4F" w:rsidRPr="00C523A1">
        <w:rPr>
          <w:sz w:val="28"/>
          <w:szCs w:val="28"/>
        </w:rPr>
        <w:t>(</w:t>
      </w:r>
      <w:r w:rsidR="00C523A1" w:rsidRPr="00C523A1">
        <w:rPr>
          <w:sz w:val="28"/>
          <w:szCs w:val="28"/>
        </w:rPr>
        <w:t>Hollenbach-</w:t>
      </w:r>
      <w:proofErr w:type="spellStart"/>
      <w:r w:rsidR="00C523A1" w:rsidRPr="00C523A1">
        <w:rPr>
          <w:sz w:val="28"/>
          <w:szCs w:val="28"/>
        </w:rPr>
        <w:t>Biele</w:t>
      </w:r>
      <w:proofErr w:type="spellEnd"/>
      <w:r w:rsidR="00C523A1" w:rsidRPr="00C523A1">
        <w:rPr>
          <w:sz w:val="28"/>
          <w:szCs w:val="28"/>
        </w:rPr>
        <w:t xml:space="preserve"> /</w:t>
      </w:r>
      <w:r w:rsidR="00800F4F">
        <w:rPr>
          <w:sz w:val="28"/>
          <w:szCs w:val="28"/>
        </w:rPr>
        <w:t>Klemm 2019, 40, Tab. A4). Das ist ein Zuwachs von 72.274 Schüler*innen bzw. von 15,3 Prozent. In Bayern stieg die Zahl der Schüler*innen mit sonderpädagogischem Förderbedarf von 68.466 im Schuljahr 2008/09 auf 75.172 an. Der geringe</w:t>
      </w:r>
      <w:r w:rsidR="00190F15">
        <w:rPr>
          <w:sz w:val="28"/>
          <w:szCs w:val="28"/>
        </w:rPr>
        <w:t>re</w:t>
      </w:r>
      <w:r w:rsidR="00800F4F">
        <w:rPr>
          <w:sz w:val="28"/>
          <w:szCs w:val="28"/>
        </w:rPr>
        <w:t xml:space="preserve"> Anstieg von nur 9,8 Prozent ist nicht auf eine Verminderung der För</w:t>
      </w:r>
      <w:r w:rsidR="000658F1">
        <w:rPr>
          <w:sz w:val="28"/>
          <w:szCs w:val="28"/>
        </w:rPr>
        <w:t xml:space="preserve">derschüler, sondern auf eine </w:t>
      </w:r>
      <w:r w:rsidR="00800F4F">
        <w:rPr>
          <w:sz w:val="28"/>
          <w:szCs w:val="28"/>
        </w:rPr>
        <w:t xml:space="preserve"> geringere Inklusion von Schülern mit sonderpädagogischem Förderbedarf in allgemeine Schulen zurückzuführen.</w:t>
      </w:r>
      <w:r w:rsidR="00093C22">
        <w:rPr>
          <w:sz w:val="28"/>
          <w:szCs w:val="28"/>
        </w:rPr>
        <w:t xml:space="preserve"> </w:t>
      </w:r>
    </w:p>
    <w:p w:rsidR="00190F15" w:rsidRDefault="00190F15">
      <w:pPr>
        <w:rPr>
          <w:sz w:val="28"/>
          <w:szCs w:val="28"/>
        </w:rPr>
      </w:pPr>
    </w:p>
    <w:p w:rsidR="00841C8F" w:rsidRDefault="00E75B14">
      <w:pPr>
        <w:rPr>
          <w:sz w:val="28"/>
          <w:szCs w:val="28"/>
        </w:rPr>
      </w:pPr>
      <w:r>
        <w:rPr>
          <w:sz w:val="28"/>
          <w:szCs w:val="28"/>
        </w:rPr>
        <w:t xml:space="preserve">Der enorme Zuwachs von Förderbedarfsschülern versetzt in ungläubiges Erstaunen, ja er löst skeptische Nachfragen aus. </w:t>
      </w:r>
      <w:r w:rsidR="00093C22">
        <w:rPr>
          <w:sz w:val="28"/>
          <w:szCs w:val="28"/>
        </w:rPr>
        <w:t xml:space="preserve">Wie ist das möglich? Wie kann man sich die wundersame Vermehrung von Schüler*innen mit </w:t>
      </w:r>
      <w:r w:rsidR="00093C22">
        <w:rPr>
          <w:sz w:val="28"/>
          <w:szCs w:val="28"/>
        </w:rPr>
        <w:lastRenderedPageBreak/>
        <w:t>sonderpädagogischem Förderbedarf ausgerechnet in Zeiten der Inklusion erklären? Sind die Schülerinnen und Schüler in zehn Jahren „behinderter“ geworden? Oder hat die sonderpädagogischen Diagnostik die Schüler*innen „behinderter“ gemacht?</w:t>
      </w:r>
    </w:p>
    <w:p w:rsidR="00093C22" w:rsidRDefault="00093C22">
      <w:pPr>
        <w:rPr>
          <w:sz w:val="28"/>
          <w:szCs w:val="28"/>
        </w:rPr>
      </w:pPr>
    </w:p>
    <w:p w:rsidR="00093C22" w:rsidRDefault="00DC785C">
      <w:pPr>
        <w:rPr>
          <w:sz w:val="28"/>
          <w:szCs w:val="28"/>
        </w:rPr>
      </w:pPr>
      <w:r>
        <w:rPr>
          <w:sz w:val="28"/>
          <w:szCs w:val="28"/>
        </w:rPr>
        <w:t xml:space="preserve">Im vierten Teil der </w:t>
      </w:r>
      <w:proofErr w:type="spellStart"/>
      <w:r>
        <w:rPr>
          <w:sz w:val="28"/>
          <w:szCs w:val="28"/>
        </w:rPr>
        <w:t>Pent</w:t>
      </w:r>
      <w:r w:rsidR="00093C22">
        <w:rPr>
          <w:sz w:val="28"/>
          <w:szCs w:val="28"/>
        </w:rPr>
        <w:t>alogie</w:t>
      </w:r>
      <w:proofErr w:type="spellEnd"/>
      <w:r w:rsidR="00093C22">
        <w:rPr>
          <w:sz w:val="28"/>
          <w:szCs w:val="28"/>
        </w:rPr>
        <w:t xml:space="preserve"> zur schulischen Inklusion in Bayern sollen die gestellten Fragen noch einmal in vertiefender Form aufgegriffen werden. </w:t>
      </w:r>
      <w:r w:rsidR="00E75B14">
        <w:rPr>
          <w:sz w:val="28"/>
          <w:szCs w:val="28"/>
        </w:rPr>
        <w:t>Hier soll der spezifischen Frage nachgegangen werden, ob sich die relativen, prozentualen Anteile der einzelnen Förderbedarfe (Sehen, Hören, Körperlich-motorische Entwicklung, Geistige Entwicklung, Lernen, Sprache, Sozial-emotionale Entwicklung) an der Gesamtheit a</w:t>
      </w:r>
      <w:r w:rsidR="00190F15">
        <w:rPr>
          <w:sz w:val="28"/>
          <w:szCs w:val="28"/>
        </w:rPr>
        <w:t>ller Förderbedarfe verändert haben</w:t>
      </w:r>
      <w:r w:rsidR="00E75B14">
        <w:rPr>
          <w:sz w:val="28"/>
          <w:szCs w:val="28"/>
        </w:rPr>
        <w:t>. Gefragt wird, ob sich das proportionale Verhältnis der einzelnen Förderbedarfe im gesamten Förderbedarfsspektrum verschoben und verändert hat, und zwar einerseits innerhalb der Förderschule und andererseits</w:t>
      </w:r>
      <w:r w:rsidR="000D1A0A">
        <w:rPr>
          <w:sz w:val="28"/>
          <w:szCs w:val="28"/>
        </w:rPr>
        <w:t xml:space="preserve"> innerhalb der </w:t>
      </w:r>
      <w:r w:rsidR="002E50C0">
        <w:rPr>
          <w:sz w:val="28"/>
          <w:szCs w:val="28"/>
        </w:rPr>
        <w:t xml:space="preserve">inklusiven, </w:t>
      </w:r>
      <w:r w:rsidR="000D1A0A">
        <w:rPr>
          <w:sz w:val="28"/>
          <w:szCs w:val="28"/>
        </w:rPr>
        <w:t xml:space="preserve">allgemeinen Schule. </w:t>
      </w:r>
    </w:p>
    <w:p w:rsidR="007442CB" w:rsidRDefault="007442CB" w:rsidP="00930171">
      <w:pPr>
        <w:rPr>
          <w:sz w:val="28"/>
          <w:szCs w:val="28"/>
        </w:rPr>
      </w:pPr>
    </w:p>
    <w:p w:rsidR="00EB75B2" w:rsidRPr="00374513" w:rsidRDefault="007442CB" w:rsidP="00930171">
      <w:pPr>
        <w:rPr>
          <w:sz w:val="28"/>
          <w:szCs w:val="28"/>
        </w:rPr>
      </w:pPr>
      <w:r>
        <w:rPr>
          <w:sz w:val="28"/>
          <w:szCs w:val="28"/>
        </w:rPr>
        <w:t>Bevor für das Bundesland Bayern die empirischen Veränderungen der Förderbedarfsspektren in den Förderschulen und in den allgemeinen Schulen aufgezeigt werden, sollen einige theoretische Überlegungen über hypothetisch erwartbare Verteilungen der Förderbedarfe in beiden Systemen angestellt werden.</w:t>
      </w:r>
    </w:p>
    <w:p w:rsidR="00EB75B2" w:rsidRDefault="00EB75B2" w:rsidP="00930171">
      <w:pPr>
        <w:rPr>
          <w:sz w:val="28"/>
          <w:szCs w:val="28"/>
        </w:rPr>
      </w:pPr>
    </w:p>
    <w:p w:rsidR="00EB75B2" w:rsidRDefault="00EB75B2" w:rsidP="00930171">
      <w:pPr>
        <w:rPr>
          <w:sz w:val="28"/>
          <w:szCs w:val="28"/>
        </w:rPr>
      </w:pPr>
      <w:r>
        <w:rPr>
          <w:sz w:val="28"/>
          <w:szCs w:val="28"/>
        </w:rPr>
        <w:t xml:space="preserve">Wie der Titel der Abhandlung bereits ankündigt, wird als geeigneter theoretischer Rahmen für die Interpretation und Diskussion der Untersuchung der Konstruktivismus gewählt. </w:t>
      </w:r>
      <w:r w:rsidR="008B1B05">
        <w:rPr>
          <w:sz w:val="28"/>
          <w:szCs w:val="28"/>
        </w:rPr>
        <w:t xml:space="preserve">Es gibt nicht „den“ Konstruktivismus. Unter dieser erkenntnistheoretischen Position versammelt sich eine Vielzahl von unterschiedlichen Ansätzen. Im vorliegenden Zusammenhang mag es genügen, lediglich den gedanklichen Kern, der als </w:t>
      </w:r>
      <w:r w:rsidR="00B57770">
        <w:rPr>
          <w:sz w:val="28"/>
          <w:szCs w:val="28"/>
        </w:rPr>
        <w:t xml:space="preserve">kleinster gemeinsamer </w:t>
      </w:r>
      <w:r w:rsidR="00CF647B">
        <w:rPr>
          <w:sz w:val="28"/>
          <w:szCs w:val="28"/>
        </w:rPr>
        <w:t>Nenner der</w:t>
      </w:r>
      <w:r w:rsidR="00AE5A37">
        <w:rPr>
          <w:sz w:val="28"/>
          <w:szCs w:val="28"/>
        </w:rPr>
        <w:t xml:space="preserve"> disparaten Theorie</w:t>
      </w:r>
      <w:r w:rsidR="008B1B05">
        <w:rPr>
          <w:sz w:val="28"/>
          <w:szCs w:val="28"/>
        </w:rPr>
        <w:t>familie gelten kann, darzustellen.</w:t>
      </w:r>
    </w:p>
    <w:p w:rsidR="008B1B05" w:rsidRDefault="008B1B05" w:rsidP="00930171">
      <w:pPr>
        <w:rPr>
          <w:sz w:val="28"/>
          <w:szCs w:val="28"/>
        </w:rPr>
      </w:pPr>
    </w:p>
    <w:p w:rsidR="008B1B05" w:rsidRDefault="008B1B05" w:rsidP="00930171">
      <w:pPr>
        <w:rPr>
          <w:sz w:val="28"/>
          <w:szCs w:val="28"/>
        </w:rPr>
      </w:pPr>
      <w:r>
        <w:rPr>
          <w:sz w:val="28"/>
          <w:szCs w:val="28"/>
        </w:rPr>
        <w:t xml:space="preserve">Gemeinsam ist allen die Auffassung, dass sich </w:t>
      </w:r>
      <w:r w:rsidR="00AE5385">
        <w:rPr>
          <w:sz w:val="28"/>
          <w:szCs w:val="28"/>
        </w:rPr>
        <w:t xml:space="preserve">die Realität nicht </w:t>
      </w:r>
      <w:r w:rsidR="000658F1">
        <w:rPr>
          <w:sz w:val="28"/>
          <w:szCs w:val="28"/>
        </w:rPr>
        <w:t>„</w:t>
      </w:r>
      <w:r w:rsidR="00AE5385">
        <w:rPr>
          <w:sz w:val="28"/>
          <w:szCs w:val="28"/>
        </w:rPr>
        <w:t>objektiv</w:t>
      </w:r>
      <w:r w:rsidR="000658F1">
        <w:rPr>
          <w:sz w:val="28"/>
          <w:szCs w:val="28"/>
        </w:rPr>
        <w:t xml:space="preserve">“ </w:t>
      </w:r>
      <w:r w:rsidR="00AE5385">
        <w:rPr>
          <w:sz w:val="28"/>
          <w:szCs w:val="28"/>
        </w:rPr>
        <w:t xml:space="preserve"> wahrnehmen, beschreiben und erklären lässt. Das menschliche Gehirn hat keinen unmittelbaren Zugriff auf die Realität, es ist auf die Wahrnehmung der Realität durch die Sinnesorgane, insbesondere durch Sehen und Hören angewiesen. Alle Wahrnehmung ist aber nicht eine exakte Abbildung der Realität im Gehirn, </w:t>
      </w:r>
      <w:r w:rsidR="000E564E">
        <w:rPr>
          <w:sz w:val="28"/>
          <w:szCs w:val="28"/>
        </w:rPr>
        <w:t xml:space="preserve">sondern eine kombinierte Komposition aus sinnlichen Wahrnehmungen und </w:t>
      </w:r>
      <w:r w:rsidR="00B57770">
        <w:rPr>
          <w:sz w:val="28"/>
          <w:szCs w:val="28"/>
        </w:rPr>
        <w:t>interne</w:t>
      </w:r>
      <w:r w:rsidR="00AE5A37">
        <w:rPr>
          <w:sz w:val="28"/>
          <w:szCs w:val="28"/>
        </w:rPr>
        <w:t>n, subjektiven</w:t>
      </w:r>
      <w:r w:rsidR="00B57770">
        <w:rPr>
          <w:sz w:val="28"/>
          <w:szCs w:val="28"/>
        </w:rPr>
        <w:t xml:space="preserve"> Operationen</w:t>
      </w:r>
      <w:r w:rsidR="000E564E">
        <w:rPr>
          <w:sz w:val="28"/>
          <w:szCs w:val="28"/>
        </w:rPr>
        <w:t xml:space="preserve">. Alle Erkenntnisse sind immer das Ergebnis von kognitiven Konstruktionsprozessen. </w:t>
      </w:r>
      <w:r w:rsidR="00A24A53">
        <w:rPr>
          <w:sz w:val="28"/>
          <w:szCs w:val="28"/>
        </w:rPr>
        <w:t>Der Erwerb von Wissen und die Aneignung von Kenntnissen erfolgen nicht nach Art des Nürnberger Trichters; damit ist die Vorstellung verknüpft, dass I</w:t>
      </w:r>
      <w:r w:rsidR="00C4594F">
        <w:rPr>
          <w:sz w:val="28"/>
          <w:szCs w:val="28"/>
        </w:rPr>
        <w:t xml:space="preserve">nformationsinhalte Subjekten gleichsam </w:t>
      </w:r>
      <w:r w:rsidR="00AE5A37">
        <w:rPr>
          <w:sz w:val="28"/>
          <w:szCs w:val="28"/>
        </w:rPr>
        <w:t xml:space="preserve">mechanisch </w:t>
      </w:r>
      <w:r w:rsidR="00C4594F">
        <w:rPr>
          <w:sz w:val="28"/>
          <w:szCs w:val="28"/>
        </w:rPr>
        <w:t xml:space="preserve">appliziert und injiziert werden, die diese völlig passiv und ohne eigenes Mittun in sich aufnehmen. </w:t>
      </w:r>
      <w:r w:rsidR="003E78E0">
        <w:rPr>
          <w:sz w:val="28"/>
          <w:szCs w:val="28"/>
        </w:rPr>
        <w:t xml:space="preserve">Dem Konstruktivismus zufolge können Kenntnisse und Wissen nicht </w:t>
      </w:r>
      <w:r w:rsidR="003E78E0">
        <w:rPr>
          <w:sz w:val="28"/>
          <w:szCs w:val="28"/>
        </w:rPr>
        <w:lastRenderedPageBreak/>
        <w:t xml:space="preserve">„eingetrichtert“ und „beigebracht“ werden, sondern sie werden immer durch interne Konstruktionen erzeugt. </w:t>
      </w:r>
      <w:r w:rsidR="00012393">
        <w:rPr>
          <w:sz w:val="28"/>
          <w:szCs w:val="28"/>
        </w:rPr>
        <w:t>Erkennen und Lernen sind subjektive, selbstgesteuerte Aktivitäten, durch die Individuen sich selbst ein eigenes Bild von der Welt erschaffen.</w:t>
      </w:r>
    </w:p>
    <w:p w:rsidR="00012393" w:rsidRDefault="00012393" w:rsidP="00930171">
      <w:pPr>
        <w:rPr>
          <w:sz w:val="28"/>
          <w:szCs w:val="28"/>
        </w:rPr>
      </w:pPr>
    </w:p>
    <w:p w:rsidR="00012393" w:rsidRDefault="00012393" w:rsidP="00930171">
      <w:pPr>
        <w:rPr>
          <w:sz w:val="28"/>
          <w:szCs w:val="28"/>
        </w:rPr>
      </w:pPr>
      <w:r>
        <w:rPr>
          <w:sz w:val="28"/>
          <w:szCs w:val="28"/>
        </w:rPr>
        <w:t>Jeder Wahrnehmungs-, Erkenntnis- und Denk</w:t>
      </w:r>
      <w:r w:rsidR="00F6711B">
        <w:rPr>
          <w:sz w:val="28"/>
          <w:szCs w:val="28"/>
        </w:rPr>
        <w:t xml:space="preserve">prozesse beruht auf aktiven und persönlichen Konstruktionen von Individuen. Die Konstruktionen sind aber keineswegs beliebig, sondern sind vielfältig abhängig: </w:t>
      </w:r>
      <w:r w:rsidR="00CF647B">
        <w:rPr>
          <w:sz w:val="28"/>
          <w:szCs w:val="28"/>
        </w:rPr>
        <w:t>Von Vorerfahrungen</w:t>
      </w:r>
      <w:r w:rsidR="00F6711B">
        <w:rPr>
          <w:sz w:val="28"/>
          <w:szCs w:val="28"/>
        </w:rPr>
        <w:t xml:space="preserve">, Einstellungen, Lebenslagen, Interessen, sozialem Austausch, kulturellem und sozialen Umfeld. Das </w:t>
      </w:r>
      <w:r w:rsidR="00C51065">
        <w:rPr>
          <w:sz w:val="28"/>
          <w:szCs w:val="28"/>
        </w:rPr>
        <w:t xml:space="preserve">kognitive </w:t>
      </w:r>
      <w:r w:rsidR="00F6711B">
        <w:rPr>
          <w:sz w:val="28"/>
          <w:szCs w:val="28"/>
        </w:rPr>
        <w:t xml:space="preserve">Konstruieren ist weder von der Realität unabhängig noch wird es durch sie determiniert. Der Konstruktivismus bestreitet nicht </w:t>
      </w:r>
      <w:r w:rsidR="00AE5A37">
        <w:rPr>
          <w:sz w:val="28"/>
          <w:szCs w:val="28"/>
        </w:rPr>
        <w:t xml:space="preserve">die </w:t>
      </w:r>
      <w:r w:rsidR="00F6711B">
        <w:rPr>
          <w:sz w:val="28"/>
          <w:szCs w:val="28"/>
        </w:rPr>
        <w:t>Existenz einer tatsächlichen Realität, sondern lediglich ihre „</w:t>
      </w:r>
      <w:r w:rsidR="005D59D9">
        <w:rPr>
          <w:sz w:val="28"/>
          <w:szCs w:val="28"/>
        </w:rPr>
        <w:t>wahre“, objektive Erkennbarkeit. Unsere Aussagen und unser Wissen entspringen selbstkonstruierten Weltbildern, der eigenen Kognitionsbiographie und der eigenen Lebenslage. Was „wahr“ ist, lässt sich nicht objektiv feststellen. Unsere Erkenntnisse, Ansichten und Weltbilder müssen „viabel“ sein, d.h. sie müssen sich als gangbar, nützlich und brauchbar erweisen.</w:t>
      </w:r>
      <w:r w:rsidR="00B57770">
        <w:rPr>
          <w:sz w:val="28"/>
          <w:szCs w:val="28"/>
        </w:rPr>
        <w:t xml:space="preserve"> Der Konstruktivismus ersetzt die vergebliche Suche nach „Wahrheit“ durch adaptive Bemühungen um „Viabilität“.</w:t>
      </w:r>
    </w:p>
    <w:p w:rsidR="005D59D9" w:rsidRDefault="005D59D9" w:rsidP="00930171">
      <w:pPr>
        <w:rPr>
          <w:sz w:val="28"/>
          <w:szCs w:val="28"/>
        </w:rPr>
      </w:pPr>
    </w:p>
    <w:p w:rsidR="005D59D9" w:rsidRDefault="007D6664" w:rsidP="00930171">
      <w:pPr>
        <w:rPr>
          <w:sz w:val="28"/>
          <w:szCs w:val="28"/>
        </w:rPr>
      </w:pPr>
      <w:r>
        <w:rPr>
          <w:sz w:val="28"/>
          <w:szCs w:val="28"/>
        </w:rPr>
        <w:t>Der Konstruktivismus nimmt zu</w:t>
      </w:r>
      <w:r w:rsidR="00854EA4">
        <w:rPr>
          <w:sz w:val="28"/>
          <w:szCs w:val="28"/>
        </w:rPr>
        <w:t xml:space="preserve"> </w:t>
      </w:r>
      <w:r>
        <w:rPr>
          <w:sz w:val="28"/>
          <w:szCs w:val="28"/>
        </w:rPr>
        <w:t>guter</w:t>
      </w:r>
      <w:r w:rsidR="00854EA4">
        <w:rPr>
          <w:sz w:val="28"/>
          <w:szCs w:val="28"/>
        </w:rPr>
        <w:t xml:space="preserve"> L</w:t>
      </w:r>
      <w:r>
        <w:rPr>
          <w:sz w:val="28"/>
          <w:szCs w:val="28"/>
        </w:rPr>
        <w:t>etzt Abschied von der Vorstellung einer absoluten Wahrheit und eine</w:t>
      </w:r>
      <w:r w:rsidR="00CF647B">
        <w:rPr>
          <w:sz w:val="28"/>
          <w:szCs w:val="28"/>
        </w:rPr>
        <w:t>r</w:t>
      </w:r>
      <w:r>
        <w:rPr>
          <w:sz w:val="28"/>
          <w:szCs w:val="28"/>
        </w:rPr>
        <w:t xml:space="preserve"> empirischen Objektivität. Diese Gegenposition zum </w:t>
      </w:r>
      <w:proofErr w:type="spellStart"/>
      <w:r>
        <w:rPr>
          <w:sz w:val="28"/>
          <w:szCs w:val="28"/>
        </w:rPr>
        <w:t>Objektivismus</w:t>
      </w:r>
      <w:proofErr w:type="spellEnd"/>
      <w:r>
        <w:rPr>
          <w:sz w:val="28"/>
          <w:szCs w:val="28"/>
        </w:rPr>
        <w:t xml:space="preserve"> entzieht einer naiven Wissenschafts- und Faktengläubigkeit die Grundlage. Auch das vorherrschende, im Kern realistische Verständnis </w:t>
      </w:r>
      <w:r w:rsidR="00CF647B">
        <w:rPr>
          <w:sz w:val="28"/>
          <w:szCs w:val="28"/>
        </w:rPr>
        <w:t>der sonderpädagogischen Wirklichkeit</w:t>
      </w:r>
      <w:r>
        <w:rPr>
          <w:sz w:val="28"/>
          <w:szCs w:val="28"/>
        </w:rPr>
        <w:t xml:space="preserve"> wird irritiert und erschüttert. Was „Behinderung“ und „Förder</w:t>
      </w:r>
      <w:r w:rsidR="00344386">
        <w:rPr>
          <w:sz w:val="28"/>
          <w:szCs w:val="28"/>
        </w:rPr>
        <w:t xml:space="preserve">bedarf“ wirklich sind, </w:t>
      </w:r>
      <w:r w:rsidR="00481D94">
        <w:rPr>
          <w:sz w:val="28"/>
          <w:szCs w:val="28"/>
        </w:rPr>
        <w:t xml:space="preserve">ist nicht mehr allein eine </w:t>
      </w:r>
      <w:proofErr w:type="spellStart"/>
      <w:r w:rsidR="00481D94">
        <w:rPr>
          <w:sz w:val="28"/>
          <w:szCs w:val="28"/>
        </w:rPr>
        <w:t>unhinterfragbare</w:t>
      </w:r>
      <w:proofErr w:type="spellEnd"/>
      <w:r w:rsidR="00481D94">
        <w:rPr>
          <w:sz w:val="28"/>
          <w:szCs w:val="28"/>
        </w:rPr>
        <w:t>, „reale“, „objektive“ Tatsache, sondern immer auch eine menschliche und gesellschaftliche Konstruktion.</w:t>
      </w:r>
    </w:p>
    <w:p w:rsidR="007468FF" w:rsidRDefault="007468FF" w:rsidP="00930171">
      <w:pPr>
        <w:rPr>
          <w:sz w:val="28"/>
          <w:szCs w:val="28"/>
        </w:rPr>
      </w:pPr>
    </w:p>
    <w:p w:rsidR="007468FF" w:rsidRDefault="007468FF" w:rsidP="00930171">
      <w:pPr>
        <w:rPr>
          <w:sz w:val="28"/>
          <w:szCs w:val="28"/>
        </w:rPr>
      </w:pPr>
      <w:r>
        <w:rPr>
          <w:sz w:val="28"/>
          <w:szCs w:val="28"/>
        </w:rPr>
        <w:t>Die Grundlegung der Untersuchungen im erkenntnistheoretische</w:t>
      </w:r>
      <w:r w:rsidR="00C51065">
        <w:rPr>
          <w:sz w:val="28"/>
          <w:szCs w:val="28"/>
        </w:rPr>
        <w:t>n Konstruktivismus gestattet es</w:t>
      </w:r>
      <w:r>
        <w:rPr>
          <w:sz w:val="28"/>
          <w:szCs w:val="28"/>
        </w:rPr>
        <w:t xml:space="preserve"> nun</w:t>
      </w:r>
      <w:r w:rsidR="00C51065">
        <w:rPr>
          <w:sz w:val="28"/>
          <w:szCs w:val="28"/>
        </w:rPr>
        <w:t>,</w:t>
      </w:r>
      <w:r>
        <w:rPr>
          <w:sz w:val="28"/>
          <w:szCs w:val="28"/>
        </w:rPr>
        <w:t xml:space="preserve"> alternative Ergebniserwartungen zu formulieren. Die Fragestellung war, ob und ggf. wie sich innerhalb eines zehnjährigen Reformprozesses das proportionale Gefüge der unterschiedlichen Förderbedarfe</w:t>
      </w:r>
      <w:r w:rsidR="00AE5A37">
        <w:rPr>
          <w:sz w:val="28"/>
          <w:szCs w:val="28"/>
        </w:rPr>
        <w:t xml:space="preserve"> innerhalb des</w:t>
      </w:r>
      <w:r>
        <w:rPr>
          <w:sz w:val="28"/>
          <w:szCs w:val="28"/>
        </w:rPr>
        <w:t xml:space="preserve"> Förderschulsystem</w:t>
      </w:r>
      <w:r w:rsidR="00AE5A37">
        <w:rPr>
          <w:sz w:val="28"/>
          <w:szCs w:val="28"/>
        </w:rPr>
        <w:t>s</w:t>
      </w:r>
      <w:r>
        <w:rPr>
          <w:sz w:val="28"/>
          <w:szCs w:val="28"/>
        </w:rPr>
        <w:t xml:space="preserve"> wie auch in den </w:t>
      </w:r>
      <w:r w:rsidR="00374513">
        <w:rPr>
          <w:sz w:val="28"/>
          <w:szCs w:val="28"/>
        </w:rPr>
        <w:t xml:space="preserve">inklusiven, </w:t>
      </w:r>
      <w:r>
        <w:rPr>
          <w:sz w:val="28"/>
          <w:szCs w:val="28"/>
        </w:rPr>
        <w:t>allgemeinen Schulen verändert und verschoben hat.</w:t>
      </w:r>
    </w:p>
    <w:p w:rsidR="007468FF" w:rsidRDefault="007468FF" w:rsidP="00930171">
      <w:pPr>
        <w:rPr>
          <w:sz w:val="28"/>
          <w:szCs w:val="28"/>
        </w:rPr>
      </w:pPr>
    </w:p>
    <w:p w:rsidR="007468FF" w:rsidRDefault="007468FF" w:rsidP="00930171">
      <w:pPr>
        <w:rPr>
          <w:sz w:val="28"/>
          <w:szCs w:val="28"/>
        </w:rPr>
      </w:pPr>
      <w:r>
        <w:rPr>
          <w:sz w:val="28"/>
          <w:szCs w:val="28"/>
        </w:rPr>
        <w:t>Folgt man der objektivistischen Po</w:t>
      </w:r>
      <w:r w:rsidR="00AE5A37">
        <w:rPr>
          <w:sz w:val="28"/>
          <w:szCs w:val="28"/>
        </w:rPr>
        <w:t>sition, dann sollten eigentlich</w:t>
      </w:r>
      <w:r>
        <w:rPr>
          <w:sz w:val="28"/>
          <w:szCs w:val="28"/>
        </w:rPr>
        <w:t xml:space="preserve"> keine gravierenden Änderungen in den Förderbedarfsspektren zu erwarte</w:t>
      </w:r>
      <w:r w:rsidR="00B57770">
        <w:rPr>
          <w:sz w:val="28"/>
          <w:szCs w:val="28"/>
        </w:rPr>
        <w:t xml:space="preserve">n sein. </w:t>
      </w:r>
      <w:r>
        <w:rPr>
          <w:sz w:val="28"/>
          <w:szCs w:val="28"/>
        </w:rPr>
        <w:t xml:space="preserve">Behinderungen gelten als </w:t>
      </w:r>
      <w:r w:rsidR="00184528">
        <w:rPr>
          <w:sz w:val="28"/>
          <w:szCs w:val="28"/>
        </w:rPr>
        <w:t>eine unveränderliche, feststehende Tatsache</w:t>
      </w:r>
      <w:r>
        <w:rPr>
          <w:sz w:val="28"/>
          <w:szCs w:val="28"/>
        </w:rPr>
        <w:t>, an der weder Bildungspolitik noch Schul- und Son</w:t>
      </w:r>
      <w:r w:rsidR="00B57770">
        <w:rPr>
          <w:sz w:val="28"/>
          <w:szCs w:val="28"/>
        </w:rPr>
        <w:t>derpädagogik etwas ändern können</w:t>
      </w:r>
      <w:r>
        <w:rPr>
          <w:sz w:val="28"/>
          <w:szCs w:val="28"/>
        </w:rPr>
        <w:t xml:space="preserve">. Von einer objektiven sonderpädagogischen Diagnostik sollte erwartet werden, dass sie sine </w:t>
      </w:r>
      <w:proofErr w:type="spellStart"/>
      <w:r>
        <w:rPr>
          <w:sz w:val="28"/>
          <w:szCs w:val="28"/>
        </w:rPr>
        <w:t>ira</w:t>
      </w:r>
      <w:proofErr w:type="spellEnd"/>
      <w:r>
        <w:rPr>
          <w:sz w:val="28"/>
          <w:szCs w:val="28"/>
        </w:rPr>
        <w:t xml:space="preserve"> et </w:t>
      </w:r>
      <w:proofErr w:type="spellStart"/>
      <w:r>
        <w:rPr>
          <w:sz w:val="28"/>
          <w:szCs w:val="28"/>
        </w:rPr>
        <w:t>studio</w:t>
      </w:r>
      <w:proofErr w:type="spellEnd"/>
      <w:r>
        <w:rPr>
          <w:sz w:val="28"/>
          <w:szCs w:val="28"/>
        </w:rPr>
        <w:t xml:space="preserve">, unbeeindruckt von gesellschaftlichen und </w:t>
      </w:r>
      <w:r>
        <w:rPr>
          <w:sz w:val="28"/>
          <w:szCs w:val="28"/>
        </w:rPr>
        <w:lastRenderedPageBreak/>
        <w:t xml:space="preserve">bildungspolitischen </w:t>
      </w:r>
      <w:r w:rsidR="009B7FC5">
        <w:rPr>
          <w:sz w:val="28"/>
          <w:szCs w:val="28"/>
        </w:rPr>
        <w:t>Zeitläuften und Moden auch die Realität von Behinderungen auch objektiv und reliabel abbildet.</w:t>
      </w:r>
    </w:p>
    <w:p w:rsidR="009B7FC5" w:rsidRDefault="009B7FC5" w:rsidP="00930171">
      <w:pPr>
        <w:rPr>
          <w:sz w:val="28"/>
          <w:szCs w:val="28"/>
        </w:rPr>
      </w:pPr>
    </w:p>
    <w:p w:rsidR="009B7FC5" w:rsidRDefault="00CF647B" w:rsidP="00930171">
      <w:pPr>
        <w:rPr>
          <w:sz w:val="28"/>
          <w:szCs w:val="28"/>
        </w:rPr>
      </w:pPr>
      <w:r>
        <w:rPr>
          <w:sz w:val="28"/>
          <w:szCs w:val="28"/>
        </w:rPr>
        <w:t>Den objektivistischen</w:t>
      </w:r>
      <w:r w:rsidR="009B7FC5">
        <w:rPr>
          <w:sz w:val="28"/>
          <w:szCs w:val="28"/>
        </w:rPr>
        <w:t xml:space="preserve"> Ergebniserwartungen sind indes recht geringe Bestätigungsaussichten beschieden. Wir wissen ja bereits aus den vora</w:t>
      </w:r>
      <w:r w:rsidR="00C51065">
        <w:rPr>
          <w:sz w:val="28"/>
          <w:szCs w:val="28"/>
        </w:rPr>
        <w:t xml:space="preserve">ngegangenen Analysen dieser </w:t>
      </w:r>
      <w:proofErr w:type="spellStart"/>
      <w:r w:rsidR="00C51065">
        <w:rPr>
          <w:sz w:val="28"/>
          <w:szCs w:val="28"/>
        </w:rPr>
        <w:t>Penta</w:t>
      </w:r>
      <w:r w:rsidR="009B7FC5">
        <w:rPr>
          <w:sz w:val="28"/>
          <w:szCs w:val="28"/>
        </w:rPr>
        <w:t>logie</w:t>
      </w:r>
      <w:proofErr w:type="spellEnd"/>
      <w:r w:rsidR="009B7FC5">
        <w:rPr>
          <w:sz w:val="28"/>
          <w:szCs w:val="28"/>
        </w:rPr>
        <w:t xml:space="preserve">, dass die </w:t>
      </w:r>
      <w:r w:rsidR="00AE5A37">
        <w:rPr>
          <w:sz w:val="28"/>
          <w:szCs w:val="28"/>
        </w:rPr>
        <w:t xml:space="preserve">Inklusionsreform </w:t>
      </w:r>
      <w:r w:rsidR="00184528">
        <w:rPr>
          <w:sz w:val="28"/>
          <w:szCs w:val="28"/>
        </w:rPr>
        <w:t>mit unfasslichen</w:t>
      </w:r>
      <w:r w:rsidR="009B7FC5">
        <w:rPr>
          <w:sz w:val="28"/>
          <w:szCs w:val="28"/>
        </w:rPr>
        <w:t xml:space="preserve"> diagnostischen Turbolenzen verbunden war. Es ist daher wahrscheinlicher, dass i</w:t>
      </w:r>
      <w:r w:rsidR="00AE5A37">
        <w:rPr>
          <w:sz w:val="28"/>
          <w:szCs w:val="28"/>
        </w:rPr>
        <w:t>n der Tektonik des Förderbedarfs</w:t>
      </w:r>
      <w:r w:rsidR="00184528">
        <w:rPr>
          <w:sz w:val="28"/>
          <w:szCs w:val="28"/>
        </w:rPr>
        <w:t>s</w:t>
      </w:r>
      <w:r w:rsidR="00AE5A37">
        <w:rPr>
          <w:sz w:val="28"/>
          <w:szCs w:val="28"/>
        </w:rPr>
        <w:t>pektrums</w:t>
      </w:r>
      <w:r w:rsidR="009B7FC5">
        <w:rPr>
          <w:sz w:val="28"/>
          <w:szCs w:val="28"/>
        </w:rPr>
        <w:t xml:space="preserve"> große, vielleicht gar erdrutschartige Verschiebungen im Laufe der Inklusionsreform auftreten werden.</w:t>
      </w:r>
    </w:p>
    <w:p w:rsidR="009B7FC5" w:rsidRDefault="009B7FC5" w:rsidP="00930171">
      <w:pPr>
        <w:rPr>
          <w:sz w:val="28"/>
          <w:szCs w:val="28"/>
        </w:rPr>
      </w:pPr>
    </w:p>
    <w:p w:rsidR="009B7FC5" w:rsidRDefault="009B7FC5" w:rsidP="00930171">
      <w:pPr>
        <w:rPr>
          <w:sz w:val="28"/>
          <w:szCs w:val="28"/>
        </w:rPr>
      </w:pPr>
      <w:r>
        <w:rPr>
          <w:sz w:val="28"/>
          <w:szCs w:val="28"/>
        </w:rPr>
        <w:t>Das Konzept der Viabilität weist den Weg, mit welchen strukturellen Modi</w:t>
      </w:r>
      <w:r w:rsidR="004736EE">
        <w:rPr>
          <w:sz w:val="28"/>
          <w:szCs w:val="28"/>
        </w:rPr>
        <w:t>fi</w:t>
      </w:r>
      <w:r>
        <w:rPr>
          <w:sz w:val="28"/>
          <w:szCs w:val="28"/>
        </w:rPr>
        <w:t xml:space="preserve">kationen innerhalb der Förderbedarfsspektrum gerechnet werden muss. </w:t>
      </w:r>
      <w:r w:rsidR="006D59F4">
        <w:rPr>
          <w:sz w:val="28"/>
          <w:szCs w:val="28"/>
        </w:rPr>
        <w:t>Die konstruktivistische Erkenntnistheorie postuliert, dass dasjenige „Wissen“ konstruiert wird, das sich als viabel, also als gangbar und nützlich erweist. Welche Diagnose von Förderbedarfen ist nun in inklusiven Zeiten</w:t>
      </w:r>
      <w:r w:rsidR="00B57770">
        <w:rPr>
          <w:sz w:val="28"/>
          <w:szCs w:val="28"/>
        </w:rPr>
        <w:t xml:space="preserve"> dienlich und funktional? D</w:t>
      </w:r>
      <w:r w:rsidR="006D59F4">
        <w:rPr>
          <w:sz w:val="28"/>
          <w:szCs w:val="28"/>
        </w:rPr>
        <w:t xml:space="preserve">ie Inklusion von Schüler*innen mit sonderpädagogischem Förderbedarf </w:t>
      </w:r>
      <w:r w:rsidR="00B57770">
        <w:rPr>
          <w:sz w:val="28"/>
          <w:szCs w:val="28"/>
        </w:rPr>
        <w:t xml:space="preserve">kann </w:t>
      </w:r>
      <w:r w:rsidR="006D59F4">
        <w:rPr>
          <w:sz w:val="28"/>
          <w:szCs w:val="28"/>
        </w:rPr>
        <w:t xml:space="preserve">in der pädagogischen Praxis nur geleistet werden, wenn neben den professionellen Kompetenzen auch die entsprechenden personellen Ressourcen zur Verfügung stehen. Hilfreich und funktional wäre eine Diagnostik in einem inklusiven Kontext folglich dann, wenn sie die unabdingbar erforderliche Akquise von professionellen Ressourcen möglichst optimal </w:t>
      </w:r>
      <w:r w:rsidR="002A1C56">
        <w:rPr>
          <w:sz w:val="28"/>
          <w:szCs w:val="28"/>
        </w:rPr>
        <w:t>begründet, fachlich</w:t>
      </w:r>
      <w:r w:rsidR="000E1AD6">
        <w:rPr>
          <w:sz w:val="28"/>
          <w:szCs w:val="28"/>
        </w:rPr>
        <w:t xml:space="preserve"> legitimiert und verwaltungstechnisch </w:t>
      </w:r>
      <w:proofErr w:type="spellStart"/>
      <w:r w:rsidR="000E1AD6">
        <w:rPr>
          <w:sz w:val="28"/>
          <w:szCs w:val="28"/>
        </w:rPr>
        <w:t>einforderbar</w:t>
      </w:r>
      <w:proofErr w:type="spellEnd"/>
      <w:r w:rsidR="000E1AD6">
        <w:rPr>
          <w:sz w:val="28"/>
          <w:szCs w:val="28"/>
        </w:rPr>
        <w:t xml:space="preserve"> macht. </w:t>
      </w:r>
      <w:r w:rsidR="004736EE">
        <w:rPr>
          <w:sz w:val="28"/>
          <w:szCs w:val="28"/>
        </w:rPr>
        <w:t>Diese Schlussfolgerung ergibt sich zwingend aus der Logik des Ressourcen-Etikettierungs-Junktims, welches mit einfachen Worten besagt: Besondere pädagogische Ressourcen gibt es nur gegen Vorlage diagnostischer B</w:t>
      </w:r>
      <w:r w:rsidR="002E50C0">
        <w:rPr>
          <w:sz w:val="28"/>
          <w:szCs w:val="28"/>
        </w:rPr>
        <w:t>ehinderungsetikette (Wocken 1996</w:t>
      </w:r>
      <w:r w:rsidR="004736EE">
        <w:rPr>
          <w:sz w:val="28"/>
          <w:szCs w:val="28"/>
        </w:rPr>
        <w:t xml:space="preserve">). </w:t>
      </w:r>
      <w:r w:rsidR="006878A4">
        <w:rPr>
          <w:sz w:val="28"/>
          <w:szCs w:val="28"/>
        </w:rPr>
        <w:t>Es ist daher jene sonderpädagogische Diagnostik viabel, die dem Erfordernis der Ressourcenakquise nachkommt und genügen kann. Das „Produkt“ eine</w:t>
      </w:r>
      <w:r w:rsidR="002A1C56">
        <w:rPr>
          <w:sz w:val="28"/>
          <w:szCs w:val="28"/>
        </w:rPr>
        <w:t>r</w:t>
      </w:r>
      <w:r w:rsidR="006878A4">
        <w:rPr>
          <w:sz w:val="28"/>
          <w:szCs w:val="28"/>
        </w:rPr>
        <w:t xml:space="preserve"> </w:t>
      </w:r>
      <w:proofErr w:type="spellStart"/>
      <w:r w:rsidR="006878A4">
        <w:rPr>
          <w:sz w:val="28"/>
          <w:szCs w:val="28"/>
        </w:rPr>
        <w:t>viablen</w:t>
      </w:r>
      <w:proofErr w:type="spellEnd"/>
      <w:r w:rsidR="006878A4">
        <w:rPr>
          <w:sz w:val="28"/>
          <w:szCs w:val="28"/>
        </w:rPr>
        <w:t xml:space="preserve">, funktionalen Diagnostik kann in ungeschönter Klarheit mit einem elementaren Bedingungssatz beschrieben werden: </w:t>
      </w:r>
      <w:r w:rsidR="004503AA">
        <w:rPr>
          <w:sz w:val="28"/>
          <w:szCs w:val="28"/>
        </w:rPr>
        <w:t xml:space="preserve">Eine sonderpädagogische Diagnostik ist </w:t>
      </w:r>
      <w:r w:rsidR="002A1C56">
        <w:rPr>
          <w:sz w:val="28"/>
          <w:szCs w:val="28"/>
        </w:rPr>
        <w:t>in dem Maße viabel, wie sie quantitativ</w:t>
      </w:r>
      <w:r w:rsidR="004503AA">
        <w:rPr>
          <w:sz w:val="28"/>
          <w:szCs w:val="28"/>
        </w:rPr>
        <w:t xml:space="preserve"> möglichst viele sonderpädagogische Förderbedarfe und qualitati</w:t>
      </w:r>
      <w:r w:rsidR="00854EA4">
        <w:rPr>
          <w:sz w:val="28"/>
          <w:szCs w:val="28"/>
        </w:rPr>
        <w:t>v möglichst schwerwiegende, res</w:t>
      </w:r>
      <w:r w:rsidR="004503AA">
        <w:rPr>
          <w:sz w:val="28"/>
          <w:szCs w:val="28"/>
        </w:rPr>
        <w:t>sourcen</w:t>
      </w:r>
      <w:r w:rsidR="00136302">
        <w:rPr>
          <w:sz w:val="28"/>
          <w:szCs w:val="28"/>
        </w:rPr>
        <w:t>trächtige Förderbedarfe „konst</w:t>
      </w:r>
      <w:r w:rsidR="00FE3965">
        <w:rPr>
          <w:sz w:val="28"/>
          <w:szCs w:val="28"/>
        </w:rPr>
        <w:t>r</w:t>
      </w:r>
      <w:r w:rsidR="002A1C56">
        <w:rPr>
          <w:sz w:val="28"/>
          <w:szCs w:val="28"/>
        </w:rPr>
        <w:t>u</w:t>
      </w:r>
      <w:r w:rsidR="00136302">
        <w:rPr>
          <w:sz w:val="28"/>
          <w:szCs w:val="28"/>
        </w:rPr>
        <w:t>iert“.</w:t>
      </w:r>
    </w:p>
    <w:p w:rsidR="00FE3965" w:rsidRDefault="00FE3965" w:rsidP="00930171">
      <w:pPr>
        <w:rPr>
          <w:sz w:val="28"/>
          <w:szCs w:val="28"/>
        </w:rPr>
      </w:pPr>
    </w:p>
    <w:p w:rsidR="00FE3965" w:rsidRDefault="00FE3965" w:rsidP="00930171">
      <w:pPr>
        <w:rPr>
          <w:sz w:val="28"/>
          <w:szCs w:val="28"/>
        </w:rPr>
      </w:pPr>
      <w:r>
        <w:rPr>
          <w:sz w:val="28"/>
          <w:szCs w:val="28"/>
        </w:rPr>
        <w:t>Damit ist der große Rahmen hypothetischer Erwartungen beschrieben: Quantitativ mehr Förderbedarfe, qualitativ schwerere Förderbedarfe</w:t>
      </w:r>
      <w:r w:rsidR="002A1C56">
        <w:rPr>
          <w:sz w:val="28"/>
          <w:szCs w:val="28"/>
        </w:rPr>
        <w:t>!</w:t>
      </w:r>
      <w:r>
        <w:rPr>
          <w:sz w:val="28"/>
          <w:szCs w:val="28"/>
        </w:rPr>
        <w:t xml:space="preserve"> Eine differenziertere Prognose, wie sich </w:t>
      </w:r>
      <w:r w:rsidR="00CF647B">
        <w:rPr>
          <w:sz w:val="28"/>
          <w:szCs w:val="28"/>
        </w:rPr>
        <w:t>die einzelnen Förderschwerpunkte</w:t>
      </w:r>
      <w:r>
        <w:rPr>
          <w:sz w:val="28"/>
          <w:szCs w:val="28"/>
        </w:rPr>
        <w:t xml:space="preserve"> entwickeln, wäre wohl allzu riskant, kaum theoretisch ableitbar und erscheint daher wenig sinnvoll.</w:t>
      </w:r>
    </w:p>
    <w:p w:rsidR="00C51065" w:rsidRDefault="00C51065" w:rsidP="00FE3965">
      <w:pPr>
        <w:rPr>
          <w:b/>
          <w:sz w:val="28"/>
          <w:szCs w:val="28"/>
        </w:rPr>
      </w:pPr>
    </w:p>
    <w:p w:rsidR="00374513" w:rsidRDefault="00374513" w:rsidP="00FE3965">
      <w:pPr>
        <w:rPr>
          <w:b/>
          <w:sz w:val="28"/>
          <w:szCs w:val="28"/>
        </w:rPr>
      </w:pPr>
    </w:p>
    <w:p w:rsidR="00374513" w:rsidRDefault="00374513" w:rsidP="00FE3965">
      <w:pPr>
        <w:rPr>
          <w:b/>
          <w:sz w:val="28"/>
          <w:szCs w:val="28"/>
        </w:rPr>
      </w:pPr>
    </w:p>
    <w:p w:rsidR="00374513" w:rsidRDefault="00374513" w:rsidP="00FE3965">
      <w:pPr>
        <w:rPr>
          <w:b/>
          <w:sz w:val="28"/>
          <w:szCs w:val="28"/>
        </w:rPr>
      </w:pPr>
    </w:p>
    <w:p w:rsidR="00FE3965" w:rsidRPr="00D23E2C" w:rsidRDefault="00D23E2C" w:rsidP="00FE3965">
      <w:pPr>
        <w:rPr>
          <w:b/>
          <w:sz w:val="28"/>
          <w:szCs w:val="28"/>
        </w:rPr>
      </w:pPr>
      <w:r w:rsidRPr="00D23E2C">
        <w:rPr>
          <w:b/>
          <w:sz w:val="28"/>
          <w:szCs w:val="28"/>
        </w:rPr>
        <w:lastRenderedPageBreak/>
        <w:t xml:space="preserve">4.3 </w:t>
      </w:r>
      <w:r w:rsidR="00FE3965" w:rsidRPr="00D23E2C">
        <w:rPr>
          <w:b/>
          <w:sz w:val="28"/>
          <w:szCs w:val="28"/>
        </w:rPr>
        <w:t>Methodisches Vorgehen</w:t>
      </w:r>
    </w:p>
    <w:p w:rsidR="00374513" w:rsidRDefault="00374513" w:rsidP="00930171">
      <w:pPr>
        <w:rPr>
          <w:sz w:val="28"/>
          <w:szCs w:val="28"/>
        </w:rPr>
      </w:pPr>
    </w:p>
    <w:p w:rsidR="008B2DFB" w:rsidRDefault="008B2DFB" w:rsidP="00930171">
      <w:pPr>
        <w:rPr>
          <w:sz w:val="28"/>
          <w:szCs w:val="28"/>
        </w:rPr>
      </w:pPr>
      <w:r>
        <w:rPr>
          <w:sz w:val="28"/>
          <w:szCs w:val="28"/>
        </w:rPr>
        <w:t xml:space="preserve">Die Beschreibung des methodischen Vorgehens kann sehr knapp gehalten werden. </w:t>
      </w:r>
      <w:r w:rsidR="00C51065">
        <w:rPr>
          <w:sz w:val="28"/>
          <w:szCs w:val="28"/>
        </w:rPr>
        <w:t>Die erforderlichen empirischen Basisd</w:t>
      </w:r>
      <w:r>
        <w:rPr>
          <w:sz w:val="28"/>
          <w:szCs w:val="28"/>
        </w:rPr>
        <w:t xml:space="preserve">aten wurden wiederum vom Bayerischen Landesamt für Statistik erbeten und </w:t>
      </w:r>
      <w:r w:rsidR="00CF647B">
        <w:rPr>
          <w:sz w:val="28"/>
          <w:szCs w:val="28"/>
        </w:rPr>
        <w:t>bereitgestellt</w:t>
      </w:r>
      <w:r>
        <w:rPr>
          <w:sz w:val="28"/>
          <w:szCs w:val="28"/>
        </w:rPr>
        <w:t>. Die prozentualen Anteile der Förderschwerpunkte wurden jeweils getrennt für das Förderschulsystem und das System der allgemeinen Schulen berechnet. Grundgesamtheit war jeweils die Gesamtheit aller Schüler*innen mit sonderpädagogischem Förderschwerpunkt innerhalb ein</w:t>
      </w:r>
      <w:r w:rsidR="002A1C56">
        <w:rPr>
          <w:sz w:val="28"/>
          <w:szCs w:val="28"/>
        </w:rPr>
        <w:t>es System</w:t>
      </w:r>
      <w:r w:rsidR="00374513">
        <w:rPr>
          <w:sz w:val="28"/>
          <w:szCs w:val="28"/>
        </w:rPr>
        <w:t>s</w:t>
      </w:r>
      <w:r w:rsidR="002A1C56">
        <w:rPr>
          <w:sz w:val="28"/>
          <w:szCs w:val="28"/>
        </w:rPr>
        <w:t>. Ein Prozentwert von 4,1 für „Hören“ (Tab. und Abb. 1)</w:t>
      </w:r>
      <w:r>
        <w:rPr>
          <w:sz w:val="28"/>
          <w:szCs w:val="28"/>
        </w:rPr>
        <w:t xml:space="preserve"> </w:t>
      </w:r>
      <w:r w:rsidR="002A1C56">
        <w:rPr>
          <w:sz w:val="28"/>
          <w:szCs w:val="28"/>
        </w:rPr>
        <w:t>bedeutet nicht, dass 4,1</w:t>
      </w:r>
      <w:r>
        <w:rPr>
          <w:sz w:val="28"/>
          <w:szCs w:val="28"/>
        </w:rPr>
        <w:t xml:space="preserve"> Prozent aller Schüler*innen </w:t>
      </w:r>
      <w:r w:rsidR="002A1C56">
        <w:rPr>
          <w:sz w:val="28"/>
          <w:szCs w:val="28"/>
        </w:rPr>
        <w:t xml:space="preserve">im Schuljahr 2008/09 </w:t>
      </w:r>
      <w:r>
        <w:rPr>
          <w:sz w:val="28"/>
          <w:szCs w:val="28"/>
        </w:rPr>
        <w:t>sonderpäda</w:t>
      </w:r>
      <w:r w:rsidR="002A1C56">
        <w:rPr>
          <w:sz w:val="28"/>
          <w:szCs w:val="28"/>
        </w:rPr>
        <w:t>gogischen Förderbedarf im „Hören“ hatten, sondern dass 4,1</w:t>
      </w:r>
      <w:r>
        <w:rPr>
          <w:sz w:val="28"/>
          <w:szCs w:val="28"/>
        </w:rPr>
        <w:t xml:space="preserve"> Prozent aller Schülerinnen in allen </w:t>
      </w:r>
      <w:r w:rsidRPr="002A1C56">
        <w:rPr>
          <w:i/>
          <w:sz w:val="28"/>
          <w:szCs w:val="28"/>
        </w:rPr>
        <w:t>Sonderschulen</w:t>
      </w:r>
      <w:r>
        <w:rPr>
          <w:sz w:val="28"/>
          <w:szCs w:val="28"/>
        </w:rPr>
        <w:t xml:space="preserve"> </w:t>
      </w:r>
      <w:r w:rsidR="002A1C56">
        <w:rPr>
          <w:sz w:val="28"/>
          <w:szCs w:val="28"/>
        </w:rPr>
        <w:t>dem Förderschwerpunkt „Hören“</w:t>
      </w:r>
      <w:r>
        <w:rPr>
          <w:sz w:val="28"/>
          <w:szCs w:val="28"/>
        </w:rPr>
        <w:t xml:space="preserve"> angehör</w:t>
      </w:r>
      <w:r w:rsidR="002A1C56">
        <w:rPr>
          <w:sz w:val="28"/>
          <w:szCs w:val="28"/>
        </w:rPr>
        <w:t>t</w:t>
      </w:r>
      <w:r>
        <w:rPr>
          <w:sz w:val="28"/>
          <w:szCs w:val="28"/>
        </w:rPr>
        <w:t>en.</w:t>
      </w:r>
      <w:r w:rsidR="000658F1">
        <w:rPr>
          <w:sz w:val="28"/>
          <w:szCs w:val="28"/>
        </w:rPr>
        <w:t xml:space="preserve"> Um einen intersubjektiven Nachvollzug der empirischen Aussagen zu ermöglichen</w:t>
      </w:r>
      <w:r w:rsidR="00D3018B">
        <w:rPr>
          <w:sz w:val="28"/>
          <w:szCs w:val="28"/>
        </w:rPr>
        <w:t>, werden im Anhang</w:t>
      </w:r>
      <w:r w:rsidR="000658F1">
        <w:rPr>
          <w:sz w:val="28"/>
          <w:szCs w:val="28"/>
        </w:rPr>
        <w:t xml:space="preserve"> auch die absoluten Basiswerte mitgeteilt.</w:t>
      </w:r>
    </w:p>
    <w:p w:rsidR="008B2DFB" w:rsidRDefault="008B2DFB" w:rsidP="00930171">
      <w:pPr>
        <w:rPr>
          <w:sz w:val="28"/>
          <w:szCs w:val="28"/>
        </w:rPr>
      </w:pPr>
    </w:p>
    <w:p w:rsidR="008B2DFB" w:rsidRDefault="00D23E2C" w:rsidP="00930171">
      <w:pPr>
        <w:rPr>
          <w:b/>
          <w:sz w:val="28"/>
          <w:szCs w:val="28"/>
        </w:rPr>
      </w:pPr>
      <w:r w:rsidRPr="00D23E2C">
        <w:rPr>
          <w:b/>
          <w:sz w:val="28"/>
          <w:szCs w:val="28"/>
        </w:rPr>
        <w:t xml:space="preserve">4.4 </w:t>
      </w:r>
      <w:r w:rsidR="008B2DFB" w:rsidRPr="00D23E2C">
        <w:rPr>
          <w:b/>
          <w:sz w:val="28"/>
          <w:szCs w:val="28"/>
        </w:rPr>
        <w:t>Empirische Befunde</w:t>
      </w:r>
    </w:p>
    <w:p w:rsidR="008B2DFB" w:rsidRDefault="008B2DFB" w:rsidP="00930171">
      <w:pPr>
        <w:rPr>
          <w:sz w:val="28"/>
          <w:szCs w:val="28"/>
        </w:rPr>
      </w:pPr>
    </w:p>
    <w:p w:rsidR="008B2DFB" w:rsidRDefault="00E97691" w:rsidP="00930171">
      <w:pPr>
        <w:rPr>
          <w:sz w:val="28"/>
          <w:szCs w:val="28"/>
        </w:rPr>
      </w:pPr>
      <w:r>
        <w:rPr>
          <w:noProof/>
          <w:sz w:val="28"/>
          <w:szCs w:val="28"/>
          <w:lang w:eastAsia="de-DE"/>
        </w:rPr>
        <w:drawing>
          <wp:inline distT="0" distB="0" distL="0" distR="0" wp14:anchorId="3BAF4022">
            <wp:extent cx="6131178" cy="2016000"/>
            <wp:effectExtent l="0" t="0" r="317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25" b="45656"/>
                    <a:stretch/>
                  </pic:blipFill>
                  <pic:spPr bwMode="auto">
                    <a:xfrm>
                      <a:off x="0" y="0"/>
                      <a:ext cx="6199943" cy="2038611"/>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8"/>
        <w:gridCol w:w="1099"/>
        <w:gridCol w:w="1098"/>
        <w:gridCol w:w="1099"/>
        <w:gridCol w:w="1098"/>
        <w:gridCol w:w="1099"/>
        <w:gridCol w:w="1098"/>
        <w:gridCol w:w="1099"/>
      </w:tblGrid>
      <w:tr w:rsidR="00E97691" w:rsidRPr="00E97691" w:rsidTr="00E97691">
        <w:trPr>
          <w:trHeight w:val="300"/>
        </w:trPr>
        <w:tc>
          <w:tcPr>
            <w:tcW w:w="1098" w:type="dxa"/>
            <w:shd w:val="clear" w:color="auto" w:fill="auto"/>
            <w:noWrap/>
            <w:vAlign w:val="bottom"/>
            <w:hideMark/>
          </w:tcPr>
          <w:p w:rsidR="00E97691" w:rsidRPr="00DC4E31" w:rsidRDefault="00DC4E31" w:rsidP="00DC4E31">
            <w:pPr>
              <w:jc w:val="right"/>
              <w:rPr>
                <w:rFonts w:asciiTheme="minorHAnsi" w:eastAsia="Times New Roman" w:hAnsiTheme="minorHAnsi" w:cstheme="minorHAnsi"/>
                <w:b/>
                <w:szCs w:val="24"/>
                <w:lang w:eastAsia="de-DE"/>
              </w:rPr>
            </w:pPr>
            <w:r w:rsidRPr="00DC4E31">
              <w:rPr>
                <w:rFonts w:asciiTheme="minorHAnsi" w:eastAsia="Times New Roman" w:hAnsiTheme="minorHAnsi" w:cstheme="minorHAnsi"/>
                <w:b/>
                <w:szCs w:val="24"/>
                <w:lang w:eastAsia="de-DE"/>
              </w:rPr>
              <w:t>Nr.</w:t>
            </w:r>
          </w:p>
        </w:tc>
        <w:tc>
          <w:tcPr>
            <w:tcW w:w="1099" w:type="dxa"/>
            <w:shd w:val="clear" w:color="auto" w:fill="auto"/>
            <w:noWrap/>
            <w:vAlign w:val="bottom"/>
            <w:hideMark/>
          </w:tcPr>
          <w:p w:rsidR="00E97691" w:rsidRPr="00DC4E31" w:rsidRDefault="00E97691" w:rsidP="00E97691">
            <w:pPr>
              <w:rPr>
                <w:rFonts w:ascii="Calibri" w:eastAsia="Times New Roman" w:hAnsi="Calibri" w:cs="Calibri"/>
                <w:b/>
                <w:color w:val="000000"/>
                <w:szCs w:val="24"/>
                <w:lang w:eastAsia="de-DE"/>
              </w:rPr>
            </w:pPr>
            <w:r w:rsidRPr="00DC4E31">
              <w:rPr>
                <w:rFonts w:ascii="Calibri" w:eastAsia="Times New Roman" w:hAnsi="Calibri" w:cs="Calibri"/>
                <w:b/>
                <w:color w:val="000000"/>
                <w:szCs w:val="24"/>
                <w:lang w:eastAsia="de-DE"/>
              </w:rPr>
              <w:t>1</w:t>
            </w:r>
          </w:p>
        </w:tc>
        <w:tc>
          <w:tcPr>
            <w:tcW w:w="1098" w:type="dxa"/>
            <w:shd w:val="clear" w:color="auto" w:fill="auto"/>
            <w:noWrap/>
            <w:vAlign w:val="bottom"/>
            <w:hideMark/>
          </w:tcPr>
          <w:p w:rsidR="00E97691" w:rsidRPr="00DC4E31" w:rsidRDefault="00E97691" w:rsidP="00E97691">
            <w:pPr>
              <w:rPr>
                <w:rFonts w:ascii="Calibri" w:eastAsia="Times New Roman" w:hAnsi="Calibri" w:cs="Calibri"/>
                <w:b/>
                <w:color w:val="000000"/>
                <w:szCs w:val="24"/>
                <w:lang w:eastAsia="de-DE"/>
              </w:rPr>
            </w:pPr>
            <w:r w:rsidRPr="00DC4E31">
              <w:rPr>
                <w:rFonts w:ascii="Calibri" w:eastAsia="Times New Roman" w:hAnsi="Calibri" w:cs="Calibri"/>
                <w:b/>
                <w:color w:val="000000"/>
                <w:szCs w:val="24"/>
                <w:lang w:eastAsia="de-DE"/>
              </w:rPr>
              <w:t>2</w:t>
            </w:r>
          </w:p>
        </w:tc>
        <w:tc>
          <w:tcPr>
            <w:tcW w:w="1099" w:type="dxa"/>
            <w:shd w:val="clear" w:color="auto" w:fill="auto"/>
            <w:noWrap/>
            <w:vAlign w:val="bottom"/>
            <w:hideMark/>
          </w:tcPr>
          <w:p w:rsidR="00E97691" w:rsidRPr="00DC4E31" w:rsidRDefault="00E97691" w:rsidP="00E97691">
            <w:pPr>
              <w:rPr>
                <w:rFonts w:ascii="Calibri" w:eastAsia="Times New Roman" w:hAnsi="Calibri" w:cs="Calibri"/>
                <w:b/>
                <w:color w:val="000000"/>
                <w:szCs w:val="24"/>
                <w:lang w:eastAsia="de-DE"/>
              </w:rPr>
            </w:pPr>
            <w:r w:rsidRPr="00DC4E31">
              <w:rPr>
                <w:rFonts w:ascii="Calibri" w:eastAsia="Times New Roman" w:hAnsi="Calibri" w:cs="Calibri"/>
                <w:b/>
                <w:color w:val="000000"/>
                <w:szCs w:val="24"/>
                <w:lang w:eastAsia="de-DE"/>
              </w:rPr>
              <w:t>3</w:t>
            </w:r>
          </w:p>
        </w:tc>
        <w:tc>
          <w:tcPr>
            <w:tcW w:w="1098" w:type="dxa"/>
            <w:shd w:val="clear" w:color="auto" w:fill="auto"/>
            <w:noWrap/>
            <w:vAlign w:val="bottom"/>
            <w:hideMark/>
          </w:tcPr>
          <w:p w:rsidR="00E97691" w:rsidRPr="00DC4E31" w:rsidRDefault="00E97691" w:rsidP="00E97691">
            <w:pPr>
              <w:rPr>
                <w:rFonts w:ascii="Calibri" w:eastAsia="Times New Roman" w:hAnsi="Calibri" w:cs="Calibri"/>
                <w:b/>
                <w:color w:val="000000"/>
                <w:szCs w:val="24"/>
                <w:lang w:eastAsia="de-DE"/>
              </w:rPr>
            </w:pPr>
            <w:r w:rsidRPr="00DC4E31">
              <w:rPr>
                <w:rFonts w:ascii="Calibri" w:eastAsia="Times New Roman" w:hAnsi="Calibri" w:cs="Calibri"/>
                <w:b/>
                <w:color w:val="000000"/>
                <w:szCs w:val="24"/>
                <w:lang w:eastAsia="de-DE"/>
              </w:rPr>
              <w:t>4</w:t>
            </w:r>
          </w:p>
        </w:tc>
        <w:tc>
          <w:tcPr>
            <w:tcW w:w="1099" w:type="dxa"/>
            <w:shd w:val="clear" w:color="auto" w:fill="auto"/>
            <w:noWrap/>
            <w:vAlign w:val="bottom"/>
            <w:hideMark/>
          </w:tcPr>
          <w:p w:rsidR="00E97691" w:rsidRPr="00DC4E31" w:rsidRDefault="00E97691" w:rsidP="00E97691">
            <w:pPr>
              <w:rPr>
                <w:rFonts w:ascii="Calibri" w:eastAsia="Times New Roman" w:hAnsi="Calibri" w:cs="Calibri"/>
                <w:b/>
                <w:color w:val="000000"/>
                <w:szCs w:val="24"/>
                <w:lang w:eastAsia="de-DE"/>
              </w:rPr>
            </w:pPr>
            <w:r w:rsidRPr="00DC4E31">
              <w:rPr>
                <w:rFonts w:ascii="Calibri" w:eastAsia="Times New Roman" w:hAnsi="Calibri" w:cs="Calibri"/>
                <w:b/>
                <w:color w:val="000000"/>
                <w:szCs w:val="24"/>
                <w:lang w:eastAsia="de-DE"/>
              </w:rPr>
              <w:t>5</w:t>
            </w:r>
          </w:p>
        </w:tc>
        <w:tc>
          <w:tcPr>
            <w:tcW w:w="1098" w:type="dxa"/>
            <w:shd w:val="clear" w:color="auto" w:fill="auto"/>
            <w:noWrap/>
            <w:vAlign w:val="bottom"/>
            <w:hideMark/>
          </w:tcPr>
          <w:p w:rsidR="00E97691" w:rsidRPr="00DC4E31" w:rsidRDefault="00E97691" w:rsidP="00E97691">
            <w:pPr>
              <w:rPr>
                <w:rFonts w:ascii="Calibri" w:eastAsia="Times New Roman" w:hAnsi="Calibri" w:cs="Calibri"/>
                <w:b/>
                <w:color w:val="000000"/>
                <w:szCs w:val="24"/>
                <w:lang w:eastAsia="de-DE"/>
              </w:rPr>
            </w:pPr>
            <w:r w:rsidRPr="00DC4E31">
              <w:rPr>
                <w:rFonts w:ascii="Calibri" w:eastAsia="Times New Roman" w:hAnsi="Calibri" w:cs="Calibri"/>
                <w:b/>
                <w:color w:val="000000"/>
                <w:szCs w:val="24"/>
                <w:lang w:eastAsia="de-DE"/>
              </w:rPr>
              <w:t>6</w:t>
            </w:r>
          </w:p>
        </w:tc>
        <w:tc>
          <w:tcPr>
            <w:tcW w:w="1099" w:type="dxa"/>
            <w:shd w:val="clear" w:color="auto" w:fill="auto"/>
            <w:noWrap/>
            <w:vAlign w:val="bottom"/>
            <w:hideMark/>
          </w:tcPr>
          <w:p w:rsidR="00E97691" w:rsidRPr="00DC4E31" w:rsidRDefault="00E97691" w:rsidP="00E97691">
            <w:pPr>
              <w:rPr>
                <w:rFonts w:ascii="Calibri" w:eastAsia="Times New Roman" w:hAnsi="Calibri" w:cs="Calibri"/>
                <w:b/>
                <w:color w:val="000000"/>
                <w:szCs w:val="24"/>
                <w:lang w:eastAsia="de-DE"/>
              </w:rPr>
            </w:pPr>
            <w:r w:rsidRPr="00DC4E31">
              <w:rPr>
                <w:rFonts w:ascii="Calibri" w:eastAsia="Times New Roman" w:hAnsi="Calibri" w:cs="Calibri"/>
                <w:b/>
                <w:color w:val="000000"/>
                <w:szCs w:val="24"/>
                <w:lang w:eastAsia="de-DE"/>
              </w:rPr>
              <w:t>7</w:t>
            </w:r>
          </w:p>
        </w:tc>
      </w:tr>
      <w:tr w:rsidR="00E97691" w:rsidRPr="00E97691" w:rsidTr="00E97691">
        <w:trPr>
          <w:trHeight w:val="300"/>
        </w:trPr>
        <w:tc>
          <w:tcPr>
            <w:tcW w:w="1098" w:type="dxa"/>
            <w:shd w:val="clear" w:color="auto" w:fill="auto"/>
            <w:noWrap/>
            <w:vAlign w:val="bottom"/>
          </w:tcPr>
          <w:p w:rsidR="00E97691" w:rsidRPr="00DC4E31" w:rsidRDefault="00E97691" w:rsidP="00E97691">
            <w:pPr>
              <w:rPr>
                <w:rFonts w:eastAsia="Times New Roman"/>
                <w:szCs w:val="24"/>
                <w:lang w:eastAsia="de-DE"/>
              </w:rPr>
            </w:pPr>
          </w:p>
        </w:tc>
        <w:tc>
          <w:tcPr>
            <w:tcW w:w="1099" w:type="dxa"/>
            <w:shd w:val="clear" w:color="auto" w:fill="auto"/>
            <w:noWrap/>
            <w:vAlign w:val="bottom"/>
          </w:tcPr>
          <w:p w:rsidR="00E97691" w:rsidRPr="00DC4E31" w:rsidRDefault="00E97691" w:rsidP="00E9769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SEHEN</w:t>
            </w:r>
          </w:p>
        </w:tc>
        <w:tc>
          <w:tcPr>
            <w:tcW w:w="1098" w:type="dxa"/>
            <w:shd w:val="clear" w:color="auto" w:fill="auto"/>
            <w:noWrap/>
            <w:vAlign w:val="bottom"/>
          </w:tcPr>
          <w:p w:rsidR="00E97691" w:rsidRPr="00DC4E31" w:rsidRDefault="00E97691" w:rsidP="00E9769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 xml:space="preserve">HÖREN </w:t>
            </w:r>
          </w:p>
        </w:tc>
        <w:tc>
          <w:tcPr>
            <w:tcW w:w="1099" w:type="dxa"/>
            <w:shd w:val="clear" w:color="auto" w:fill="auto"/>
            <w:noWrap/>
            <w:vAlign w:val="bottom"/>
          </w:tcPr>
          <w:p w:rsidR="00E97691" w:rsidRPr="00DC4E31" w:rsidRDefault="00E97691" w:rsidP="00E9769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KME</w:t>
            </w:r>
          </w:p>
        </w:tc>
        <w:tc>
          <w:tcPr>
            <w:tcW w:w="1098" w:type="dxa"/>
            <w:shd w:val="clear" w:color="auto" w:fill="auto"/>
            <w:noWrap/>
            <w:vAlign w:val="bottom"/>
          </w:tcPr>
          <w:p w:rsidR="00E97691" w:rsidRPr="00DC4E31" w:rsidRDefault="00E97691" w:rsidP="00E9769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GEISTIG</w:t>
            </w:r>
          </w:p>
        </w:tc>
        <w:tc>
          <w:tcPr>
            <w:tcW w:w="1099" w:type="dxa"/>
            <w:shd w:val="clear" w:color="auto" w:fill="auto"/>
            <w:noWrap/>
            <w:vAlign w:val="bottom"/>
          </w:tcPr>
          <w:p w:rsidR="00E97691" w:rsidRPr="00DC4E31" w:rsidRDefault="00E97691" w:rsidP="00E9769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SPRACHE</w:t>
            </w:r>
          </w:p>
        </w:tc>
        <w:tc>
          <w:tcPr>
            <w:tcW w:w="1098" w:type="dxa"/>
            <w:shd w:val="clear" w:color="auto" w:fill="auto"/>
            <w:noWrap/>
            <w:vAlign w:val="bottom"/>
          </w:tcPr>
          <w:p w:rsidR="00E97691" w:rsidRPr="00DC4E31" w:rsidRDefault="00E97691" w:rsidP="00E9769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 xml:space="preserve">LERNEN </w:t>
            </w:r>
          </w:p>
        </w:tc>
        <w:tc>
          <w:tcPr>
            <w:tcW w:w="1099" w:type="dxa"/>
            <w:shd w:val="clear" w:color="auto" w:fill="auto"/>
            <w:noWrap/>
            <w:vAlign w:val="bottom"/>
          </w:tcPr>
          <w:p w:rsidR="00E97691" w:rsidRPr="00DC4E31" w:rsidRDefault="00E97691" w:rsidP="00E9769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ESE</w:t>
            </w:r>
          </w:p>
        </w:tc>
      </w:tr>
      <w:tr w:rsidR="00DC4E31" w:rsidRPr="00E97691" w:rsidTr="00E97691">
        <w:trPr>
          <w:trHeight w:val="300"/>
        </w:trPr>
        <w:tc>
          <w:tcPr>
            <w:tcW w:w="1098" w:type="dxa"/>
            <w:shd w:val="clear" w:color="auto" w:fill="auto"/>
            <w:noWrap/>
            <w:vAlign w:val="bottom"/>
          </w:tcPr>
          <w:p w:rsidR="00DC4E31" w:rsidRPr="00DC4E31" w:rsidRDefault="00DC4E31" w:rsidP="00DC4E3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2019/20</w:t>
            </w:r>
          </w:p>
        </w:tc>
        <w:tc>
          <w:tcPr>
            <w:tcW w:w="1099" w:type="dxa"/>
            <w:shd w:val="clear" w:color="auto" w:fill="auto"/>
            <w:noWrap/>
            <w:vAlign w:val="bottom"/>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2,2</w:t>
            </w:r>
          </w:p>
        </w:tc>
        <w:tc>
          <w:tcPr>
            <w:tcW w:w="1098" w:type="dxa"/>
            <w:shd w:val="clear" w:color="auto" w:fill="auto"/>
            <w:noWrap/>
            <w:vAlign w:val="bottom"/>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4,5</w:t>
            </w:r>
          </w:p>
        </w:tc>
        <w:tc>
          <w:tcPr>
            <w:tcW w:w="1099" w:type="dxa"/>
            <w:shd w:val="clear" w:color="auto" w:fill="auto"/>
            <w:noWrap/>
            <w:vAlign w:val="bottom"/>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7,2</w:t>
            </w:r>
          </w:p>
        </w:tc>
        <w:tc>
          <w:tcPr>
            <w:tcW w:w="1098" w:type="dxa"/>
            <w:shd w:val="clear" w:color="auto" w:fill="auto"/>
            <w:noWrap/>
            <w:vAlign w:val="bottom"/>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26,1</w:t>
            </w:r>
          </w:p>
        </w:tc>
        <w:tc>
          <w:tcPr>
            <w:tcW w:w="1099" w:type="dxa"/>
            <w:shd w:val="clear" w:color="auto" w:fill="auto"/>
            <w:noWrap/>
            <w:vAlign w:val="bottom"/>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6,7</w:t>
            </w:r>
          </w:p>
        </w:tc>
        <w:tc>
          <w:tcPr>
            <w:tcW w:w="1098" w:type="dxa"/>
            <w:shd w:val="clear" w:color="auto" w:fill="auto"/>
            <w:noWrap/>
            <w:vAlign w:val="bottom"/>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43,3</w:t>
            </w:r>
          </w:p>
        </w:tc>
        <w:tc>
          <w:tcPr>
            <w:tcW w:w="1099" w:type="dxa"/>
            <w:shd w:val="clear" w:color="auto" w:fill="auto"/>
            <w:noWrap/>
            <w:vAlign w:val="bottom"/>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10,1</w:t>
            </w:r>
          </w:p>
        </w:tc>
      </w:tr>
      <w:tr w:rsidR="00DC4E31" w:rsidRPr="00E97691" w:rsidTr="00E97691">
        <w:trPr>
          <w:trHeight w:val="300"/>
        </w:trPr>
        <w:tc>
          <w:tcPr>
            <w:tcW w:w="1098" w:type="dxa"/>
            <w:shd w:val="clear" w:color="auto" w:fill="auto"/>
            <w:noWrap/>
            <w:vAlign w:val="bottom"/>
            <w:hideMark/>
          </w:tcPr>
          <w:p w:rsidR="00DC4E31" w:rsidRPr="00DC4E31" w:rsidRDefault="00DC4E31" w:rsidP="00DC4E31">
            <w:pPr>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2008/09</w:t>
            </w:r>
          </w:p>
        </w:tc>
        <w:tc>
          <w:tcPr>
            <w:tcW w:w="1099" w:type="dxa"/>
            <w:shd w:val="clear" w:color="auto" w:fill="auto"/>
            <w:noWrap/>
            <w:vAlign w:val="bottom"/>
            <w:hideMark/>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2,2</w:t>
            </w:r>
          </w:p>
        </w:tc>
        <w:tc>
          <w:tcPr>
            <w:tcW w:w="1098" w:type="dxa"/>
            <w:shd w:val="clear" w:color="auto" w:fill="auto"/>
            <w:noWrap/>
            <w:vAlign w:val="bottom"/>
            <w:hideMark/>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4,1</w:t>
            </w:r>
          </w:p>
        </w:tc>
        <w:tc>
          <w:tcPr>
            <w:tcW w:w="1099" w:type="dxa"/>
            <w:shd w:val="clear" w:color="auto" w:fill="auto"/>
            <w:noWrap/>
            <w:vAlign w:val="bottom"/>
            <w:hideMark/>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6,9</w:t>
            </w:r>
          </w:p>
        </w:tc>
        <w:tc>
          <w:tcPr>
            <w:tcW w:w="1098" w:type="dxa"/>
            <w:shd w:val="clear" w:color="auto" w:fill="auto"/>
            <w:noWrap/>
            <w:vAlign w:val="bottom"/>
            <w:hideMark/>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24,4</w:t>
            </w:r>
          </w:p>
        </w:tc>
        <w:tc>
          <w:tcPr>
            <w:tcW w:w="1099" w:type="dxa"/>
            <w:shd w:val="clear" w:color="auto" w:fill="auto"/>
            <w:noWrap/>
            <w:vAlign w:val="bottom"/>
            <w:hideMark/>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9,3</w:t>
            </w:r>
          </w:p>
        </w:tc>
        <w:tc>
          <w:tcPr>
            <w:tcW w:w="1098" w:type="dxa"/>
            <w:shd w:val="clear" w:color="auto" w:fill="auto"/>
            <w:noWrap/>
            <w:vAlign w:val="bottom"/>
            <w:hideMark/>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45,8</w:t>
            </w:r>
          </w:p>
        </w:tc>
        <w:tc>
          <w:tcPr>
            <w:tcW w:w="1099" w:type="dxa"/>
            <w:shd w:val="clear" w:color="auto" w:fill="auto"/>
            <w:noWrap/>
            <w:vAlign w:val="bottom"/>
            <w:hideMark/>
          </w:tcPr>
          <w:p w:rsidR="00DC4E31" w:rsidRPr="00DC4E31" w:rsidRDefault="00DC4E31" w:rsidP="00DC4E31">
            <w:pPr>
              <w:jc w:val="right"/>
              <w:rPr>
                <w:rFonts w:ascii="Calibri" w:eastAsia="Times New Roman" w:hAnsi="Calibri" w:cs="Calibri"/>
                <w:color w:val="000000"/>
                <w:szCs w:val="24"/>
                <w:lang w:eastAsia="de-DE"/>
              </w:rPr>
            </w:pPr>
            <w:r w:rsidRPr="00DC4E31">
              <w:rPr>
                <w:rFonts w:ascii="Calibri" w:eastAsia="Times New Roman" w:hAnsi="Calibri" w:cs="Calibri"/>
                <w:color w:val="000000"/>
                <w:szCs w:val="24"/>
                <w:lang w:eastAsia="de-DE"/>
              </w:rPr>
              <w:t>7,2</w:t>
            </w:r>
          </w:p>
        </w:tc>
      </w:tr>
    </w:tbl>
    <w:p w:rsidR="008B2DFB" w:rsidRDefault="008B2DFB" w:rsidP="00930171">
      <w:pPr>
        <w:rPr>
          <w:sz w:val="28"/>
          <w:szCs w:val="28"/>
        </w:rPr>
      </w:pPr>
    </w:p>
    <w:p w:rsidR="00E97691" w:rsidRDefault="00E97691" w:rsidP="00930171">
      <w:pPr>
        <w:rPr>
          <w:sz w:val="28"/>
          <w:szCs w:val="28"/>
        </w:rPr>
      </w:pPr>
      <w:r>
        <w:rPr>
          <w:sz w:val="28"/>
          <w:szCs w:val="28"/>
        </w:rPr>
        <w:t>Abb. und T</w:t>
      </w:r>
      <w:r w:rsidR="00374513">
        <w:rPr>
          <w:sz w:val="28"/>
          <w:szCs w:val="28"/>
        </w:rPr>
        <w:t>ab. 1</w:t>
      </w:r>
      <w:r>
        <w:rPr>
          <w:sz w:val="28"/>
          <w:szCs w:val="28"/>
        </w:rPr>
        <w:t xml:space="preserve">: </w:t>
      </w:r>
      <w:r w:rsidR="00904896">
        <w:rPr>
          <w:sz w:val="28"/>
          <w:szCs w:val="28"/>
        </w:rPr>
        <w:t xml:space="preserve">Prozentuale </w:t>
      </w:r>
      <w:r>
        <w:rPr>
          <w:sz w:val="28"/>
          <w:szCs w:val="28"/>
        </w:rPr>
        <w:t xml:space="preserve">Verteilung der sonderpädagogischen Förderschwerpunkte (SFP) in </w:t>
      </w:r>
      <w:r w:rsidRPr="0036457D">
        <w:rPr>
          <w:i/>
          <w:sz w:val="28"/>
          <w:szCs w:val="28"/>
        </w:rPr>
        <w:t>Förderschulen</w:t>
      </w:r>
      <w:r>
        <w:rPr>
          <w:sz w:val="28"/>
          <w:szCs w:val="28"/>
        </w:rPr>
        <w:t xml:space="preserve"> in den Schuljahren 2008/09 und 2019/</w:t>
      </w:r>
      <w:r w:rsidR="0036457D">
        <w:rPr>
          <w:sz w:val="28"/>
          <w:szCs w:val="28"/>
        </w:rPr>
        <w:t>20 in Bayern</w:t>
      </w:r>
    </w:p>
    <w:p w:rsidR="0036457D" w:rsidRDefault="0036457D" w:rsidP="00930171">
      <w:pPr>
        <w:rPr>
          <w:sz w:val="28"/>
          <w:szCs w:val="28"/>
        </w:rPr>
      </w:pPr>
    </w:p>
    <w:p w:rsidR="0036457D" w:rsidRDefault="002A1C56" w:rsidP="00930171">
      <w:pPr>
        <w:rPr>
          <w:sz w:val="28"/>
          <w:szCs w:val="28"/>
        </w:rPr>
      </w:pPr>
      <w:r>
        <w:rPr>
          <w:sz w:val="28"/>
          <w:szCs w:val="28"/>
        </w:rPr>
        <w:t xml:space="preserve">Abbildung und Tabelle </w:t>
      </w:r>
      <w:r w:rsidR="00C93E99">
        <w:rPr>
          <w:sz w:val="28"/>
          <w:szCs w:val="28"/>
        </w:rPr>
        <w:t>1</w:t>
      </w:r>
      <w:r w:rsidR="0036457D">
        <w:rPr>
          <w:sz w:val="28"/>
          <w:szCs w:val="28"/>
        </w:rPr>
        <w:t xml:space="preserve"> präsentieren nun zunächst die Verteilungen der sonderpädagogischen Förderschwerpunkte in </w:t>
      </w:r>
      <w:r w:rsidR="0036457D" w:rsidRPr="002A1C56">
        <w:rPr>
          <w:i/>
          <w:sz w:val="28"/>
          <w:szCs w:val="28"/>
        </w:rPr>
        <w:t>Förderschulen</w:t>
      </w:r>
      <w:r w:rsidR="0036457D">
        <w:rPr>
          <w:sz w:val="28"/>
          <w:szCs w:val="28"/>
        </w:rPr>
        <w:t xml:space="preserve"> in den Schuljahren 2008/09 und 2019/20 in Bayern.</w:t>
      </w:r>
      <w:r w:rsidR="00CE1A23">
        <w:rPr>
          <w:sz w:val="28"/>
          <w:szCs w:val="28"/>
        </w:rPr>
        <w:t xml:space="preserve"> </w:t>
      </w:r>
      <w:r w:rsidR="006F3209">
        <w:rPr>
          <w:sz w:val="28"/>
          <w:szCs w:val="28"/>
        </w:rPr>
        <w:t>Die wesentlichen Befunde seien knapp kommentiert:</w:t>
      </w:r>
    </w:p>
    <w:p w:rsidR="006F3209" w:rsidRDefault="006F3209" w:rsidP="00930171">
      <w:pPr>
        <w:rPr>
          <w:sz w:val="28"/>
          <w:szCs w:val="28"/>
        </w:rPr>
      </w:pPr>
    </w:p>
    <w:p w:rsidR="006F3209" w:rsidRDefault="006F3209" w:rsidP="006F3209">
      <w:pPr>
        <w:pStyle w:val="Listenabsatz"/>
        <w:numPr>
          <w:ilvl w:val="0"/>
          <w:numId w:val="5"/>
        </w:numPr>
        <w:rPr>
          <w:sz w:val="28"/>
          <w:szCs w:val="28"/>
        </w:rPr>
      </w:pPr>
      <w:r>
        <w:rPr>
          <w:sz w:val="28"/>
          <w:szCs w:val="28"/>
        </w:rPr>
        <w:lastRenderedPageBreak/>
        <w:t xml:space="preserve">Der erste und zugleich dominante Eindruck ist der einer bemerkenswert hohen Konstanz. Die Verteilungen der sonderpädagogischen Förderschwerpunkte </w:t>
      </w:r>
      <w:r w:rsidR="00C51065">
        <w:rPr>
          <w:sz w:val="28"/>
          <w:szCs w:val="28"/>
        </w:rPr>
        <w:t xml:space="preserve">innerhalb des Förderschulsystems </w:t>
      </w:r>
      <w:r>
        <w:rPr>
          <w:sz w:val="28"/>
          <w:szCs w:val="28"/>
        </w:rPr>
        <w:t>sind in d</w:t>
      </w:r>
      <w:r w:rsidR="00AE5A37">
        <w:rPr>
          <w:sz w:val="28"/>
          <w:szCs w:val="28"/>
        </w:rPr>
        <w:t>em elf</w:t>
      </w:r>
      <w:r>
        <w:rPr>
          <w:sz w:val="28"/>
          <w:szCs w:val="28"/>
        </w:rPr>
        <w:t>jährigen Beobachtungszeitraum in hohem Maße kongruent.</w:t>
      </w:r>
    </w:p>
    <w:p w:rsidR="006F3209" w:rsidRDefault="006F3209" w:rsidP="006F3209">
      <w:pPr>
        <w:pStyle w:val="Listenabsatz"/>
        <w:numPr>
          <w:ilvl w:val="0"/>
          <w:numId w:val="5"/>
        </w:numPr>
        <w:rPr>
          <w:sz w:val="28"/>
          <w:szCs w:val="28"/>
        </w:rPr>
      </w:pPr>
      <w:r>
        <w:rPr>
          <w:sz w:val="28"/>
          <w:szCs w:val="28"/>
        </w:rPr>
        <w:t>Lediglich zwei Förderschwerpunkte zeigen leichte Veränderungen. Der Anteil der separat unterrichteten Schüler*innen mit dem Förderbedarf Sprache ist innerhalb der Sonderschulspektrums um 2,6 Prozent zurückgegangen. Dagegen hat der proportionale Anteil der separierten Schüler*innen mit dem Förderbedarf „Emotional-soziale Entwicklung“ um 2,9 Prozent zugenommen. Au</w:t>
      </w:r>
      <w:r w:rsidR="00C51065">
        <w:rPr>
          <w:sz w:val="28"/>
          <w:szCs w:val="28"/>
        </w:rPr>
        <w:t xml:space="preserve">s den anderen Artikeln der </w:t>
      </w:r>
      <w:proofErr w:type="spellStart"/>
      <w:r w:rsidR="00184528">
        <w:rPr>
          <w:sz w:val="28"/>
          <w:szCs w:val="28"/>
        </w:rPr>
        <w:t>Pentalogie</w:t>
      </w:r>
      <w:proofErr w:type="spellEnd"/>
      <w:r w:rsidR="00184528">
        <w:rPr>
          <w:sz w:val="28"/>
          <w:szCs w:val="28"/>
        </w:rPr>
        <w:t xml:space="preserve"> wissen</w:t>
      </w:r>
      <w:r>
        <w:rPr>
          <w:sz w:val="28"/>
          <w:szCs w:val="28"/>
        </w:rPr>
        <w:t xml:space="preserve"> wir bereits, dass </w:t>
      </w:r>
      <w:r w:rsidR="0059139A">
        <w:rPr>
          <w:sz w:val="28"/>
          <w:szCs w:val="28"/>
        </w:rPr>
        <w:t xml:space="preserve">sozial-emotional entwicklungsbeeinträchtigte </w:t>
      </w:r>
      <w:r>
        <w:rPr>
          <w:sz w:val="28"/>
          <w:szCs w:val="28"/>
        </w:rPr>
        <w:t>Schüler*</w:t>
      </w:r>
      <w:r w:rsidR="0059139A">
        <w:rPr>
          <w:sz w:val="28"/>
          <w:szCs w:val="28"/>
        </w:rPr>
        <w:t xml:space="preserve">innen in dem elfjährigen Untersuchungszeitraum </w:t>
      </w:r>
      <w:r w:rsidR="00184528">
        <w:rPr>
          <w:sz w:val="28"/>
          <w:szCs w:val="28"/>
        </w:rPr>
        <w:t>insgesamt</w:t>
      </w:r>
      <w:r w:rsidR="0059139A">
        <w:rPr>
          <w:sz w:val="28"/>
          <w:szCs w:val="28"/>
        </w:rPr>
        <w:t xml:space="preserve"> häufiger diagnostisch etikettiert wurden.</w:t>
      </w:r>
    </w:p>
    <w:p w:rsidR="0059139A" w:rsidRDefault="0059139A" w:rsidP="006F3209">
      <w:pPr>
        <w:pStyle w:val="Listenabsatz"/>
        <w:numPr>
          <w:ilvl w:val="0"/>
          <w:numId w:val="5"/>
        </w:numPr>
        <w:rPr>
          <w:sz w:val="28"/>
          <w:szCs w:val="28"/>
        </w:rPr>
      </w:pPr>
      <w:r>
        <w:rPr>
          <w:sz w:val="28"/>
          <w:szCs w:val="28"/>
        </w:rPr>
        <w:t xml:space="preserve">Betont sei indes noch einmal die hohe sonderschulinterne Stabilität der Verteilungen von </w:t>
      </w:r>
      <w:r w:rsidR="00374513">
        <w:rPr>
          <w:sz w:val="28"/>
          <w:szCs w:val="28"/>
        </w:rPr>
        <w:t xml:space="preserve">Förderschwerpunkten. </w:t>
      </w:r>
      <w:r>
        <w:rPr>
          <w:sz w:val="28"/>
          <w:szCs w:val="28"/>
        </w:rPr>
        <w:t>Diese darf indes keineswegs so interpretiert werden, als hätte</w:t>
      </w:r>
      <w:r w:rsidR="00374513">
        <w:rPr>
          <w:sz w:val="28"/>
          <w:szCs w:val="28"/>
        </w:rPr>
        <w:t>n</w:t>
      </w:r>
      <w:r>
        <w:rPr>
          <w:sz w:val="28"/>
          <w:szCs w:val="28"/>
        </w:rPr>
        <w:t xml:space="preserve"> die Sonderschulen in Bayern sich insgesamt in den elf Jahren nicht geändert. Es sei in Erinnerung gebracht, dass die bayerischen Son</w:t>
      </w:r>
      <w:r w:rsidR="00AE5A37">
        <w:rPr>
          <w:sz w:val="28"/>
          <w:szCs w:val="28"/>
        </w:rPr>
        <w:t>derschulen insgesamt während der</w:t>
      </w:r>
      <w:r>
        <w:rPr>
          <w:sz w:val="28"/>
          <w:szCs w:val="28"/>
        </w:rPr>
        <w:t xml:space="preserve"> Inklusionsreform den allgemeinen Schülerrückgang von ca. 10 Prozent nicht mitgemacht haben, sondern relativ zur allgemeinen Schülerentwicklung </w:t>
      </w:r>
      <w:r w:rsidR="00374513">
        <w:rPr>
          <w:sz w:val="28"/>
          <w:szCs w:val="28"/>
        </w:rPr>
        <w:t xml:space="preserve">sogar </w:t>
      </w:r>
      <w:r>
        <w:rPr>
          <w:sz w:val="28"/>
          <w:szCs w:val="28"/>
        </w:rPr>
        <w:t>quantitativ zugenommen haben.</w:t>
      </w:r>
    </w:p>
    <w:p w:rsidR="0059139A" w:rsidRDefault="0059139A" w:rsidP="0059139A">
      <w:pPr>
        <w:rPr>
          <w:sz w:val="28"/>
          <w:szCs w:val="28"/>
        </w:rPr>
      </w:pPr>
    </w:p>
    <w:p w:rsidR="0036457D" w:rsidRDefault="0036457D" w:rsidP="0036457D">
      <w:pPr>
        <w:rPr>
          <w:sz w:val="28"/>
          <w:szCs w:val="28"/>
        </w:rPr>
      </w:pPr>
      <w:r>
        <w:rPr>
          <w:noProof/>
          <w:sz w:val="28"/>
          <w:szCs w:val="28"/>
          <w:lang w:eastAsia="de-DE"/>
        </w:rPr>
        <w:drawing>
          <wp:inline distT="0" distB="0" distL="0" distR="0" wp14:anchorId="3EDCE230" wp14:editId="3ADE1B63">
            <wp:extent cx="6116414" cy="216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5362"/>
                    <a:stretch/>
                  </pic:blipFill>
                  <pic:spPr bwMode="auto">
                    <a:xfrm>
                      <a:off x="0" y="0"/>
                      <a:ext cx="6175578" cy="2180894"/>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0"/>
        <w:gridCol w:w="1191"/>
        <w:gridCol w:w="1191"/>
        <w:gridCol w:w="1191"/>
        <w:gridCol w:w="1192"/>
        <w:gridCol w:w="1191"/>
        <w:gridCol w:w="1191"/>
        <w:gridCol w:w="1192"/>
      </w:tblGrid>
      <w:tr w:rsidR="0036457D" w:rsidRPr="004A1C3C" w:rsidTr="00C3329A">
        <w:trPr>
          <w:trHeight w:val="300"/>
        </w:trPr>
        <w:tc>
          <w:tcPr>
            <w:tcW w:w="1300" w:type="dxa"/>
            <w:shd w:val="clear" w:color="auto" w:fill="auto"/>
            <w:noWrap/>
            <w:vAlign w:val="bottom"/>
            <w:hideMark/>
          </w:tcPr>
          <w:p w:rsidR="0036457D" w:rsidRPr="00DC4E31" w:rsidRDefault="00CF647B" w:rsidP="00C3329A">
            <w:pPr>
              <w:jc w:val="right"/>
              <w:rPr>
                <w:rFonts w:asciiTheme="minorHAnsi" w:eastAsia="Times New Roman" w:hAnsiTheme="minorHAnsi" w:cstheme="minorHAnsi"/>
                <w:b/>
                <w:color w:val="000000"/>
                <w:szCs w:val="24"/>
                <w:lang w:eastAsia="de-DE"/>
              </w:rPr>
            </w:pPr>
            <w:r w:rsidRPr="00DC4E31">
              <w:rPr>
                <w:rFonts w:asciiTheme="minorHAnsi" w:eastAsia="Times New Roman" w:hAnsiTheme="minorHAnsi" w:cstheme="minorHAnsi"/>
                <w:b/>
                <w:color w:val="000000"/>
                <w:szCs w:val="24"/>
                <w:lang w:eastAsia="de-DE"/>
              </w:rPr>
              <w:t>Nr.</w:t>
            </w:r>
            <w:r w:rsidR="0036457D" w:rsidRPr="00DC4E31">
              <w:rPr>
                <w:rFonts w:asciiTheme="minorHAnsi" w:eastAsia="Times New Roman" w:hAnsiTheme="minorHAnsi" w:cstheme="minorHAnsi"/>
                <w:b/>
                <w:color w:val="000000"/>
                <w:szCs w:val="24"/>
                <w:lang w:eastAsia="de-DE"/>
              </w:rPr>
              <w:t xml:space="preserve">        </w:t>
            </w:r>
          </w:p>
        </w:tc>
        <w:tc>
          <w:tcPr>
            <w:tcW w:w="1191" w:type="dxa"/>
            <w:shd w:val="clear" w:color="auto" w:fill="auto"/>
            <w:noWrap/>
            <w:vAlign w:val="bottom"/>
            <w:hideMark/>
          </w:tcPr>
          <w:p w:rsidR="0036457D" w:rsidRPr="00DC4E31" w:rsidRDefault="0036457D" w:rsidP="00C3329A">
            <w:pPr>
              <w:jc w:val="center"/>
              <w:rPr>
                <w:rFonts w:asciiTheme="minorHAnsi" w:eastAsia="Times New Roman" w:hAnsiTheme="minorHAnsi" w:cstheme="minorHAnsi"/>
                <w:b/>
                <w:color w:val="000000"/>
                <w:szCs w:val="24"/>
                <w:lang w:eastAsia="de-DE"/>
              </w:rPr>
            </w:pPr>
            <w:r w:rsidRPr="00DC4E31">
              <w:rPr>
                <w:rFonts w:asciiTheme="minorHAnsi" w:eastAsia="Times New Roman" w:hAnsiTheme="minorHAnsi" w:cstheme="minorHAnsi"/>
                <w:b/>
                <w:color w:val="000000"/>
                <w:szCs w:val="24"/>
                <w:lang w:eastAsia="de-DE"/>
              </w:rPr>
              <w:t>1</w:t>
            </w:r>
          </w:p>
        </w:tc>
        <w:tc>
          <w:tcPr>
            <w:tcW w:w="1191" w:type="dxa"/>
            <w:shd w:val="clear" w:color="auto" w:fill="auto"/>
            <w:noWrap/>
            <w:vAlign w:val="bottom"/>
            <w:hideMark/>
          </w:tcPr>
          <w:p w:rsidR="0036457D" w:rsidRPr="00DC4E31" w:rsidRDefault="0036457D" w:rsidP="00C3329A">
            <w:pPr>
              <w:jc w:val="center"/>
              <w:rPr>
                <w:rFonts w:asciiTheme="minorHAnsi" w:eastAsia="Times New Roman" w:hAnsiTheme="minorHAnsi" w:cstheme="minorHAnsi"/>
                <w:b/>
                <w:color w:val="000000"/>
                <w:szCs w:val="24"/>
                <w:lang w:eastAsia="de-DE"/>
              </w:rPr>
            </w:pPr>
            <w:r w:rsidRPr="00DC4E31">
              <w:rPr>
                <w:rFonts w:asciiTheme="minorHAnsi" w:eastAsia="Times New Roman" w:hAnsiTheme="minorHAnsi" w:cstheme="minorHAnsi"/>
                <w:b/>
                <w:color w:val="000000"/>
                <w:szCs w:val="24"/>
                <w:lang w:eastAsia="de-DE"/>
              </w:rPr>
              <w:t>2</w:t>
            </w:r>
          </w:p>
        </w:tc>
        <w:tc>
          <w:tcPr>
            <w:tcW w:w="1191" w:type="dxa"/>
            <w:shd w:val="clear" w:color="auto" w:fill="auto"/>
            <w:noWrap/>
            <w:vAlign w:val="bottom"/>
            <w:hideMark/>
          </w:tcPr>
          <w:p w:rsidR="0036457D" w:rsidRPr="00DC4E31" w:rsidRDefault="0036457D" w:rsidP="00C3329A">
            <w:pPr>
              <w:jc w:val="center"/>
              <w:rPr>
                <w:rFonts w:asciiTheme="minorHAnsi" w:eastAsia="Times New Roman" w:hAnsiTheme="minorHAnsi" w:cstheme="minorHAnsi"/>
                <w:b/>
                <w:color w:val="000000"/>
                <w:szCs w:val="24"/>
                <w:lang w:eastAsia="de-DE"/>
              </w:rPr>
            </w:pPr>
            <w:r w:rsidRPr="00DC4E31">
              <w:rPr>
                <w:rFonts w:asciiTheme="minorHAnsi" w:eastAsia="Times New Roman" w:hAnsiTheme="minorHAnsi" w:cstheme="minorHAnsi"/>
                <w:b/>
                <w:color w:val="000000"/>
                <w:szCs w:val="24"/>
                <w:lang w:eastAsia="de-DE"/>
              </w:rPr>
              <w:t>3</w:t>
            </w:r>
          </w:p>
        </w:tc>
        <w:tc>
          <w:tcPr>
            <w:tcW w:w="1192" w:type="dxa"/>
            <w:shd w:val="clear" w:color="auto" w:fill="auto"/>
            <w:noWrap/>
            <w:vAlign w:val="bottom"/>
            <w:hideMark/>
          </w:tcPr>
          <w:p w:rsidR="0036457D" w:rsidRPr="00DC4E31" w:rsidRDefault="0036457D" w:rsidP="00C3329A">
            <w:pPr>
              <w:jc w:val="center"/>
              <w:rPr>
                <w:rFonts w:asciiTheme="minorHAnsi" w:eastAsia="Times New Roman" w:hAnsiTheme="minorHAnsi" w:cstheme="minorHAnsi"/>
                <w:b/>
                <w:color w:val="000000"/>
                <w:szCs w:val="24"/>
                <w:lang w:eastAsia="de-DE"/>
              </w:rPr>
            </w:pPr>
            <w:r w:rsidRPr="00DC4E31">
              <w:rPr>
                <w:rFonts w:asciiTheme="minorHAnsi" w:eastAsia="Times New Roman" w:hAnsiTheme="minorHAnsi" w:cstheme="minorHAnsi"/>
                <w:b/>
                <w:color w:val="000000"/>
                <w:szCs w:val="24"/>
                <w:lang w:eastAsia="de-DE"/>
              </w:rPr>
              <w:t>4</w:t>
            </w:r>
          </w:p>
        </w:tc>
        <w:tc>
          <w:tcPr>
            <w:tcW w:w="1191" w:type="dxa"/>
            <w:shd w:val="clear" w:color="auto" w:fill="auto"/>
            <w:noWrap/>
            <w:vAlign w:val="bottom"/>
            <w:hideMark/>
          </w:tcPr>
          <w:p w:rsidR="0036457D" w:rsidRPr="00DC4E31" w:rsidRDefault="0036457D" w:rsidP="00C3329A">
            <w:pPr>
              <w:jc w:val="center"/>
              <w:rPr>
                <w:rFonts w:asciiTheme="minorHAnsi" w:eastAsia="Times New Roman" w:hAnsiTheme="minorHAnsi" w:cstheme="minorHAnsi"/>
                <w:b/>
                <w:color w:val="000000"/>
                <w:szCs w:val="24"/>
                <w:lang w:eastAsia="de-DE"/>
              </w:rPr>
            </w:pPr>
            <w:r w:rsidRPr="00DC4E31">
              <w:rPr>
                <w:rFonts w:asciiTheme="minorHAnsi" w:eastAsia="Times New Roman" w:hAnsiTheme="minorHAnsi" w:cstheme="minorHAnsi"/>
                <w:b/>
                <w:color w:val="000000"/>
                <w:szCs w:val="24"/>
                <w:lang w:eastAsia="de-DE"/>
              </w:rPr>
              <w:t>5</w:t>
            </w:r>
          </w:p>
        </w:tc>
        <w:tc>
          <w:tcPr>
            <w:tcW w:w="1191" w:type="dxa"/>
            <w:shd w:val="clear" w:color="auto" w:fill="auto"/>
            <w:noWrap/>
            <w:vAlign w:val="bottom"/>
            <w:hideMark/>
          </w:tcPr>
          <w:p w:rsidR="0036457D" w:rsidRPr="00DC4E31" w:rsidRDefault="0036457D" w:rsidP="00C3329A">
            <w:pPr>
              <w:jc w:val="center"/>
              <w:rPr>
                <w:rFonts w:asciiTheme="minorHAnsi" w:eastAsia="Times New Roman" w:hAnsiTheme="minorHAnsi" w:cstheme="minorHAnsi"/>
                <w:b/>
                <w:color w:val="000000"/>
                <w:szCs w:val="24"/>
                <w:lang w:eastAsia="de-DE"/>
              </w:rPr>
            </w:pPr>
            <w:r w:rsidRPr="00DC4E31">
              <w:rPr>
                <w:rFonts w:asciiTheme="minorHAnsi" w:eastAsia="Times New Roman" w:hAnsiTheme="minorHAnsi" w:cstheme="minorHAnsi"/>
                <w:b/>
                <w:color w:val="000000"/>
                <w:szCs w:val="24"/>
                <w:lang w:eastAsia="de-DE"/>
              </w:rPr>
              <w:t>6</w:t>
            </w:r>
          </w:p>
        </w:tc>
        <w:tc>
          <w:tcPr>
            <w:tcW w:w="1192" w:type="dxa"/>
            <w:shd w:val="clear" w:color="auto" w:fill="auto"/>
            <w:noWrap/>
            <w:vAlign w:val="bottom"/>
            <w:hideMark/>
          </w:tcPr>
          <w:p w:rsidR="0036457D" w:rsidRPr="00DC4E31" w:rsidRDefault="0036457D" w:rsidP="00C3329A">
            <w:pPr>
              <w:jc w:val="center"/>
              <w:rPr>
                <w:rFonts w:asciiTheme="minorHAnsi" w:eastAsia="Times New Roman" w:hAnsiTheme="minorHAnsi" w:cstheme="minorHAnsi"/>
                <w:b/>
                <w:color w:val="000000"/>
                <w:szCs w:val="24"/>
                <w:lang w:eastAsia="de-DE"/>
              </w:rPr>
            </w:pPr>
            <w:r w:rsidRPr="00DC4E31">
              <w:rPr>
                <w:rFonts w:asciiTheme="minorHAnsi" w:eastAsia="Times New Roman" w:hAnsiTheme="minorHAnsi" w:cstheme="minorHAnsi"/>
                <w:b/>
                <w:color w:val="000000"/>
                <w:szCs w:val="24"/>
                <w:lang w:eastAsia="de-DE"/>
              </w:rPr>
              <w:t>7</w:t>
            </w:r>
          </w:p>
        </w:tc>
      </w:tr>
      <w:tr w:rsidR="00DC4E31" w:rsidRPr="004A1C3C" w:rsidTr="00C3329A">
        <w:trPr>
          <w:trHeight w:val="300"/>
        </w:trPr>
        <w:tc>
          <w:tcPr>
            <w:tcW w:w="1300" w:type="dxa"/>
            <w:shd w:val="clear" w:color="auto" w:fill="auto"/>
            <w:noWrap/>
            <w:vAlign w:val="bottom"/>
          </w:tcPr>
          <w:p w:rsidR="00DC4E31" w:rsidRPr="004A1C3C" w:rsidRDefault="00DC4E31" w:rsidP="00DC4E31">
            <w:pPr>
              <w:jc w:val="right"/>
              <w:rPr>
                <w:rFonts w:asciiTheme="minorHAnsi" w:eastAsia="Times New Roman" w:hAnsiTheme="minorHAnsi" w:cstheme="minorHAnsi"/>
                <w:color w:val="000000"/>
                <w:szCs w:val="24"/>
                <w:lang w:eastAsia="de-DE"/>
              </w:rPr>
            </w:pPr>
            <w:r>
              <w:rPr>
                <w:rFonts w:asciiTheme="minorHAnsi" w:eastAsia="Times New Roman" w:hAnsiTheme="minorHAnsi" w:cstheme="minorHAnsi"/>
                <w:color w:val="000000"/>
                <w:szCs w:val="24"/>
                <w:lang w:eastAsia="de-DE"/>
              </w:rPr>
              <w:t>SFP</w:t>
            </w:r>
          </w:p>
        </w:tc>
        <w:tc>
          <w:tcPr>
            <w:tcW w:w="1191" w:type="dxa"/>
            <w:shd w:val="clear" w:color="auto" w:fill="auto"/>
            <w:noWrap/>
            <w:vAlign w:val="bottom"/>
          </w:tcPr>
          <w:p w:rsidR="00DC4E31" w:rsidRPr="004A1C3C" w:rsidRDefault="00DC4E31" w:rsidP="00DC4E31">
            <w:pPr>
              <w:jc w:val="center"/>
              <w:rPr>
                <w:rFonts w:asciiTheme="minorHAnsi" w:eastAsia="Times New Roman" w:hAnsiTheme="minorHAnsi" w:cstheme="minorHAnsi"/>
                <w:szCs w:val="24"/>
                <w:lang w:eastAsia="de-DE"/>
              </w:rPr>
            </w:pPr>
            <w:r w:rsidRPr="004A1C3C">
              <w:rPr>
                <w:rFonts w:asciiTheme="minorHAnsi" w:eastAsia="Times New Roman" w:hAnsiTheme="minorHAnsi" w:cstheme="minorHAnsi"/>
                <w:szCs w:val="24"/>
                <w:lang w:eastAsia="de-DE"/>
              </w:rPr>
              <w:t>SEHEN</w:t>
            </w:r>
          </w:p>
        </w:tc>
        <w:tc>
          <w:tcPr>
            <w:tcW w:w="1191" w:type="dxa"/>
            <w:shd w:val="clear" w:color="auto" w:fill="auto"/>
            <w:noWrap/>
            <w:vAlign w:val="bottom"/>
          </w:tcPr>
          <w:p w:rsidR="00DC4E31" w:rsidRPr="004A1C3C" w:rsidRDefault="00DC4E31" w:rsidP="00DC4E31">
            <w:pPr>
              <w:jc w:val="center"/>
              <w:rPr>
                <w:rFonts w:asciiTheme="minorHAnsi" w:eastAsia="Times New Roman" w:hAnsiTheme="minorHAnsi" w:cstheme="minorHAnsi"/>
                <w:szCs w:val="24"/>
                <w:lang w:eastAsia="de-DE"/>
              </w:rPr>
            </w:pPr>
            <w:r w:rsidRPr="004A1C3C">
              <w:rPr>
                <w:rFonts w:asciiTheme="minorHAnsi" w:eastAsia="Times New Roman" w:hAnsiTheme="minorHAnsi" w:cstheme="minorHAnsi"/>
                <w:szCs w:val="24"/>
                <w:lang w:eastAsia="de-DE"/>
              </w:rPr>
              <w:t>HÖREN</w:t>
            </w:r>
          </w:p>
        </w:tc>
        <w:tc>
          <w:tcPr>
            <w:tcW w:w="1191" w:type="dxa"/>
            <w:shd w:val="clear" w:color="auto" w:fill="auto"/>
            <w:noWrap/>
            <w:vAlign w:val="bottom"/>
          </w:tcPr>
          <w:p w:rsidR="00DC4E31" w:rsidRPr="004A1C3C" w:rsidRDefault="00DC4E31" w:rsidP="00DC4E31">
            <w:pPr>
              <w:jc w:val="center"/>
              <w:rPr>
                <w:rFonts w:asciiTheme="minorHAnsi" w:eastAsia="Times New Roman" w:hAnsiTheme="minorHAnsi" w:cstheme="minorHAnsi"/>
                <w:szCs w:val="24"/>
                <w:lang w:eastAsia="de-DE"/>
              </w:rPr>
            </w:pPr>
            <w:r w:rsidRPr="004A1C3C">
              <w:rPr>
                <w:rFonts w:asciiTheme="minorHAnsi" w:eastAsia="Times New Roman" w:hAnsiTheme="minorHAnsi" w:cstheme="minorHAnsi"/>
                <w:szCs w:val="24"/>
                <w:lang w:eastAsia="de-DE"/>
              </w:rPr>
              <w:t>KME</w:t>
            </w:r>
          </w:p>
        </w:tc>
        <w:tc>
          <w:tcPr>
            <w:tcW w:w="1192" w:type="dxa"/>
            <w:shd w:val="clear" w:color="auto" w:fill="auto"/>
            <w:noWrap/>
            <w:vAlign w:val="bottom"/>
          </w:tcPr>
          <w:p w:rsidR="00DC4E31" w:rsidRPr="004A1C3C" w:rsidRDefault="00DC4E31" w:rsidP="00DC4E31">
            <w:pPr>
              <w:jc w:val="center"/>
              <w:rPr>
                <w:rFonts w:asciiTheme="minorHAnsi" w:eastAsia="Times New Roman" w:hAnsiTheme="minorHAnsi" w:cstheme="minorHAnsi"/>
                <w:szCs w:val="24"/>
                <w:lang w:eastAsia="de-DE"/>
              </w:rPr>
            </w:pPr>
            <w:r w:rsidRPr="004A1C3C">
              <w:rPr>
                <w:rFonts w:asciiTheme="minorHAnsi" w:eastAsia="Times New Roman" w:hAnsiTheme="minorHAnsi" w:cstheme="minorHAnsi"/>
                <w:szCs w:val="24"/>
                <w:lang w:eastAsia="de-DE"/>
              </w:rPr>
              <w:t>GE</w:t>
            </w:r>
          </w:p>
        </w:tc>
        <w:tc>
          <w:tcPr>
            <w:tcW w:w="1191" w:type="dxa"/>
            <w:shd w:val="clear" w:color="auto" w:fill="auto"/>
            <w:noWrap/>
            <w:vAlign w:val="bottom"/>
          </w:tcPr>
          <w:p w:rsidR="00DC4E31" w:rsidRPr="004A1C3C" w:rsidRDefault="00DC4E31" w:rsidP="00DC4E31">
            <w:pPr>
              <w:jc w:val="center"/>
              <w:rPr>
                <w:rFonts w:asciiTheme="minorHAnsi" w:eastAsia="Times New Roman" w:hAnsiTheme="minorHAnsi" w:cstheme="minorHAnsi"/>
                <w:szCs w:val="24"/>
                <w:lang w:eastAsia="de-DE"/>
              </w:rPr>
            </w:pPr>
            <w:r w:rsidRPr="004A1C3C">
              <w:rPr>
                <w:rFonts w:asciiTheme="minorHAnsi" w:eastAsia="Times New Roman" w:hAnsiTheme="minorHAnsi" w:cstheme="minorHAnsi"/>
                <w:szCs w:val="24"/>
                <w:lang w:eastAsia="de-DE"/>
              </w:rPr>
              <w:t>SPRACHE</w:t>
            </w:r>
          </w:p>
        </w:tc>
        <w:tc>
          <w:tcPr>
            <w:tcW w:w="1191" w:type="dxa"/>
            <w:shd w:val="clear" w:color="auto" w:fill="auto"/>
            <w:noWrap/>
            <w:vAlign w:val="bottom"/>
          </w:tcPr>
          <w:p w:rsidR="00DC4E31" w:rsidRPr="004A1C3C" w:rsidRDefault="00DC4E31" w:rsidP="00DC4E31">
            <w:pPr>
              <w:jc w:val="center"/>
              <w:rPr>
                <w:rFonts w:asciiTheme="minorHAnsi" w:eastAsia="Times New Roman" w:hAnsiTheme="minorHAnsi" w:cstheme="minorHAnsi"/>
                <w:szCs w:val="24"/>
                <w:lang w:eastAsia="de-DE"/>
              </w:rPr>
            </w:pPr>
            <w:r w:rsidRPr="004A1C3C">
              <w:rPr>
                <w:rFonts w:asciiTheme="minorHAnsi" w:eastAsia="Times New Roman" w:hAnsiTheme="minorHAnsi" w:cstheme="minorHAnsi"/>
                <w:szCs w:val="24"/>
                <w:lang w:eastAsia="de-DE"/>
              </w:rPr>
              <w:t>LERNEN</w:t>
            </w:r>
          </w:p>
        </w:tc>
        <w:tc>
          <w:tcPr>
            <w:tcW w:w="1192" w:type="dxa"/>
            <w:shd w:val="clear" w:color="auto" w:fill="auto"/>
            <w:noWrap/>
            <w:vAlign w:val="bottom"/>
          </w:tcPr>
          <w:p w:rsidR="00DC4E31" w:rsidRPr="004A1C3C" w:rsidRDefault="00DC4E31" w:rsidP="00DC4E31">
            <w:pPr>
              <w:jc w:val="center"/>
              <w:rPr>
                <w:rFonts w:asciiTheme="minorHAnsi" w:eastAsia="Times New Roman" w:hAnsiTheme="minorHAnsi" w:cstheme="minorHAnsi"/>
                <w:szCs w:val="24"/>
                <w:lang w:eastAsia="de-DE"/>
              </w:rPr>
            </w:pPr>
            <w:r w:rsidRPr="004A1C3C">
              <w:rPr>
                <w:rFonts w:asciiTheme="minorHAnsi" w:eastAsia="Times New Roman" w:hAnsiTheme="minorHAnsi" w:cstheme="minorHAnsi"/>
                <w:szCs w:val="24"/>
                <w:lang w:eastAsia="de-DE"/>
              </w:rPr>
              <w:t>ESE</w:t>
            </w:r>
          </w:p>
        </w:tc>
      </w:tr>
      <w:tr w:rsidR="00DC4E31" w:rsidRPr="004A1C3C" w:rsidTr="00C3329A">
        <w:trPr>
          <w:trHeight w:val="300"/>
        </w:trPr>
        <w:tc>
          <w:tcPr>
            <w:tcW w:w="1300" w:type="dxa"/>
            <w:shd w:val="clear" w:color="auto" w:fill="auto"/>
            <w:noWrap/>
            <w:vAlign w:val="bottom"/>
            <w:hideMark/>
          </w:tcPr>
          <w:p w:rsidR="00DC4E31" w:rsidRPr="004A1C3C" w:rsidRDefault="00DC4E31" w:rsidP="00DC4E31">
            <w:pPr>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2019/20</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1,6</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6,0</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4,2</w:t>
            </w:r>
          </w:p>
        </w:tc>
        <w:tc>
          <w:tcPr>
            <w:tcW w:w="1192"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4,4</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8,2</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53,3</w:t>
            </w:r>
          </w:p>
        </w:tc>
        <w:tc>
          <w:tcPr>
            <w:tcW w:w="1192"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22,3</w:t>
            </w:r>
          </w:p>
        </w:tc>
      </w:tr>
      <w:tr w:rsidR="00DC4E31" w:rsidRPr="004A1C3C" w:rsidTr="00C3329A">
        <w:trPr>
          <w:trHeight w:val="300"/>
        </w:trPr>
        <w:tc>
          <w:tcPr>
            <w:tcW w:w="1300" w:type="dxa"/>
            <w:shd w:val="clear" w:color="auto" w:fill="auto"/>
            <w:noWrap/>
            <w:vAlign w:val="bottom"/>
            <w:hideMark/>
          </w:tcPr>
          <w:p w:rsidR="00DC4E31" w:rsidRPr="004A1C3C" w:rsidRDefault="00DC4E31" w:rsidP="00DC4E31">
            <w:pPr>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2008/09</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0,9</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2,0</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2,2</w:t>
            </w:r>
          </w:p>
        </w:tc>
        <w:tc>
          <w:tcPr>
            <w:tcW w:w="1192"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2,3</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14,3</w:t>
            </w:r>
          </w:p>
        </w:tc>
        <w:tc>
          <w:tcPr>
            <w:tcW w:w="1191"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60,8</w:t>
            </w:r>
          </w:p>
        </w:tc>
        <w:tc>
          <w:tcPr>
            <w:tcW w:w="1192" w:type="dxa"/>
            <w:shd w:val="clear" w:color="auto" w:fill="auto"/>
            <w:noWrap/>
            <w:vAlign w:val="bottom"/>
            <w:hideMark/>
          </w:tcPr>
          <w:p w:rsidR="00DC4E31" w:rsidRPr="004A1C3C" w:rsidRDefault="00DC4E31" w:rsidP="00DC4E31">
            <w:pPr>
              <w:jc w:val="right"/>
              <w:rPr>
                <w:rFonts w:asciiTheme="minorHAnsi" w:eastAsia="Times New Roman" w:hAnsiTheme="minorHAnsi" w:cstheme="minorHAnsi"/>
                <w:color w:val="000000"/>
                <w:szCs w:val="24"/>
                <w:lang w:eastAsia="de-DE"/>
              </w:rPr>
            </w:pPr>
            <w:r w:rsidRPr="004A1C3C">
              <w:rPr>
                <w:rFonts w:asciiTheme="minorHAnsi" w:eastAsia="Times New Roman" w:hAnsiTheme="minorHAnsi" w:cstheme="minorHAnsi"/>
                <w:color w:val="000000"/>
                <w:szCs w:val="24"/>
                <w:lang w:eastAsia="de-DE"/>
              </w:rPr>
              <w:t>17,4</w:t>
            </w:r>
          </w:p>
        </w:tc>
      </w:tr>
    </w:tbl>
    <w:p w:rsidR="0036457D" w:rsidRDefault="0036457D" w:rsidP="0036457D"/>
    <w:p w:rsidR="0036457D" w:rsidRDefault="0036457D" w:rsidP="00930171">
      <w:pPr>
        <w:rPr>
          <w:sz w:val="28"/>
          <w:szCs w:val="28"/>
        </w:rPr>
      </w:pPr>
      <w:r w:rsidRPr="007C7CA7">
        <w:rPr>
          <w:sz w:val="28"/>
          <w:szCs w:val="28"/>
        </w:rPr>
        <w:t>Abb.</w:t>
      </w:r>
      <w:r>
        <w:t xml:space="preserve"> </w:t>
      </w:r>
      <w:r w:rsidRPr="00E3212C">
        <w:rPr>
          <w:sz w:val="28"/>
          <w:szCs w:val="28"/>
        </w:rPr>
        <w:t>und Tab.</w:t>
      </w:r>
      <w:r>
        <w:t xml:space="preserve"> </w:t>
      </w:r>
      <w:r w:rsidR="00374513">
        <w:t>2</w:t>
      </w:r>
      <w:r w:rsidRPr="00332032">
        <w:rPr>
          <w:sz w:val="28"/>
          <w:szCs w:val="28"/>
        </w:rPr>
        <w:t xml:space="preserve">: </w:t>
      </w:r>
      <w:r w:rsidR="00904896">
        <w:rPr>
          <w:sz w:val="28"/>
          <w:szCs w:val="28"/>
        </w:rPr>
        <w:t xml:space="preserve">Prozentuale </w:t>
      </w:r>
      <w:r w:rsidRPr="00332032">
        <w:rPr>
          <w:sz w:val="28"/>
          <w:szCs w:val="28"/>
        </w:rPr>
        <w:t>Verteilung d</w:t>
      </w:r>
      <w:r>
        <w:rPr>
          <w:sz w:val="28"/>
          <w:szCs w:val="28"/>
        </w:rPr>
        <w:t>er sonderpädagogischen Förderschwerpunkte</w:t>
      </w:r>
      <w:r w:rsidRPr="00332032">
        <w:rPr>
          <w:sz w:val="28"/>
          <w:szCs w:val="28"/>
        </w:rPr>
        <w:t xml:space="preserve"> </w:t>
      </w:r>
      <w:r>
        <w:rPr>
          <w:sz w:val="28"/>
          <w:szCs w:val="28"/>
        </w:rPr>
        <w:t xml:space="preserve">(FSP) </w:t>
      </w:r>
      <w:r w:rsidRPr="00332032">
        <w:rPr>
          <w:sz w:val="28"/>
          <w:szCs w:val="28"/>
        </w:rPr>
        <w:t>in</w:t>
      </w:r>
      <w:r>
        <w:rPr>
          <w:sz w:val="28"/>
          <w:szCs w:val="28"/>
        </w:rPr>
        <w:t xml:space="preserve"> </w:t>
      </w:r>
      <w:r w:rsidR="00F0001C">
        <w:rPr>
          <w:i/>
          <w:sz w:val="28"/>
          <w:szCs w:val="28"/>
        </w:rPr>
        <w:t>a</w:t>
      </w:r>
      <w:r w:rsidRPr="002D7820">
        <w:rPr>
          <w:i/>
          <w:sz w:val="28"/>
          <w:szCs w:val="28"/>
        </w:rPr>
        <w:t>llgemeinen Schulen</w:t>
      </w:r>
      <w:r>
        <w:rPr>
          <w:sz w:val="28"/>
          <w:szCs w:val="28"/>
        </w:rPr>
        <w:t xml:space="preserve"> in den Schuljahren 2008/09 und 2019/20 in Bayern</w:t>
      </w:r>
    </w:p>
    <w:p w:rsidR="00DC4E31" w:rsidRDefault="00DC4E31" w:rsidP="00930171">
      <w:pPr>
        <w:rPr>
          <w:sz w:val="28"/>
          <w:szCs w:val="28"/>
        </w:rPr>
      </w:pPr>
    </w:p>
    <w:p w:rsidR="008B2DFB" w:rsidRDefault="00DC4E31" w:rsidP="00930171">
      <w:pPr>
        <w:rPr>
          <w:sz w:val="28"/>
          <w:szCs w:val="28"/>
        </w:rPr>
      </w:pPr>
      <w:r>
        <w:rPr>
          <w:sz w:val="28"/>
          <w:szCs w:val="28"/>
        </w:rPr>
        <w:lastRenderedPageBreak/>
        <w:t xml:space="preserve">Schauen wir nun auf die Verteilung der sonderpädagogischen Förderschwerpunkte in den bayerischen Schulen im Zeitraum von 2008/09 bis 2019/20, nun aber in den </w:t>
      </w:r>
      <w:r w:rsidRPr="00DC4E31">
        <w:rPr>
          <w:i/>
          <w:sz w:val="28"/>
          <w:szCs w:val="28"/>
        </w:rPr>
        <w:t>Allgemeinen Schulen</w:t>
      </w:r>
      <w:r w:rsidR="00374513">
        <w:rPr>
          <w:i/>
          <w:sz w:val="28"/>
          <w:szCs w:val="28"/>
        </w:rPr>
        <w:t xml:space="preserve"> </w:t>
      </w:r>
      <w:r w:rsidR="00374513" w:rsidRPr="00374513">
        <w:rPr>
          <w:sz w:val="28"/>
          <w:szCs w:val="28"/>
        </w:rPr>
        <w:t>(Abb. und Tab. 2)</w:t>
      </w:r>
      <w:r>
        <w:rPr>
          <w:sz w:val="28"/>
          <w:szCs w:val="28"/>
        </w:rPr>
        <w:t>, also in der Inklusion. Im Unterschied zu den Förderschulen zeigt nun das proportionale Spektrum der Förderschwerpunkte gehörige tektonische Verschiebungen an. Die auffälligsten Veränderungen im Zeitverlauf:</w:t>
      </w:r>
    </w:p>
    <w:p w:rsidR="00DC4E31" w:rsidRDefault="00DC4E31" w:rsidP="00930171">
      <w:pPr>
        <w:rPr>
          <w:sz w:val="28"/>
          <w:szCs w:val="28"/>
        </w:rPr>
      </w:pPr>
    </w:p>
    <w:p w:rsidR="00DC4E31" w:rsidRDefault="00613FF3" w:rsidP="00DC4E31">
      <w:pPr>
        <w:pStyle w:val="Listenabsatz"/>
        <w:numPr>
          <w:ilvl w:val="0"/>
          <w:numId w:val="6"/>
        </w:numPr>
        <w:rPr>
          <w:sz w:val="28"/>
          <w:szCs w:val="28"/>
        </w:rPr>
      </w:pPr>
      <w:r>
        <w:rPr>
          <w:sz w:val="28"/>
          <w:szCs w:val="28"/>
        </w:rPr>
        <w:t>Die „speziellen“ Förderschwerpunkte (Sehen, Hören, Körperlich-motorische Entwicklung (KME), Geistige Entwicklung (GE)) legen innerhalb der elf Reformjahre kräftig zu; sie steigern insgesamt ihren relativen Anteil von 7,4 Prozent auf 16,2 Prozent und können sich damit mehr als verdoppeln. Dies geht mit der geläufigen Erw</w:t>
      </w:r>
      <w:r w:rsidR="00904896">
        <w:rPr>
          <w:sz w:val="28"/>
          <w:szCs w:val="28"/>
        </w:rPr>
        <w:t xml:space="preserve">artung, dass die Inklusion </w:t>
      </w:r>
      <w:r>
        <w:rPr>
          <w:sz w:val="28"/>
          <w:szCs w:val="28"/>
        </w:rPr>
        <w:t>ehe</w:t>
      </w:r>
      <w:r w:rsidR="002E50C0">
        <w:rPr>
          <w:sz w:val="28"/>
          <w:szCs w:val="28"/>
        </w:rPr>
        <w:t>r</w:t>
      </w:r>
      <w:r>
        <w:rPr>
          <w:sz w:val="28"/>
          <w:szCs w:val="28"/>
        </w:rPr>
        <w:t xml:space="preserve"> die </w:t>
      </w:r>
      <w:r w:rsidR="006B3421">
        <w:rPr>
          <w:sz w:val="28"/>
          <w:szCs w:val="28"/>
        </w:rPr>
        <w:t xml:space="preserve">allfälligen, </w:t>
      </w:r>
      <w:r>
        <w:rPr>
          <w:sz w:val="28"/>
          <w:szCs w:val="28"/>
        </w:rPr>
        <w:t xml:space="preserve">„leichten“ Behinderungen (Lernen, Sprache, Verhalten) abschöpft und den „harten“ Kern </w:t>
      </w:r>
      <w:r w:rsidR="00184528">
        <w:rPr>
          <w:sz w:val="28"/>
          <w:szCs w:val="28"/>
        </w:rPr>
        <w:t>der speziellen Behinderungen</w:t>
      </w:r>
      <w:r>
        <w:rPr>
          <w:sz w:val="28"/>
          <w:szCs w:val="28"/>
        </w:rPr>
        <w:t xml:space="preserve"> in den Förderschulen belässt, </w:t>
      </w:r>
      <w:r w:rsidRPr="00C51065">
        <w:rPr>
          <w:i/>
          <w:sz w:val="28"/>
          <w:szCs w:val="28"/>
        </w:rPr>
        <w:t>nicht</w:t>
      </w:r>
      <w:r>
        <w:rPr>
          <w:sz w:val="28"/>
          <w:szCs w:val="28"/>
        </w:rPr>
        <w:t xml:space="preserve"> konform. Die Verdoppelung der speziellen Förderschwerpunkte im </w:t>
      </w:r>
      <w:r w:rsidR="00184528">
        <w:rPr>
          <w:sz w:val="28"/>
          <w:szCs w:val="28"/>
        </w:rPr>
        <w:t>Förderbedarfsspektrum legt</w:t>
      </w:r>
      <w:r>
        <w:rPr>
          <w:sz w:val="28"/>
          <w:szCs w:val="28"/>
        </w:rPr>
        <w:t xml:space="preserve"> eher eine Bestätigung der konstruktivistischen Prognose, dass mehr ressourcenträchtige Förderbedarfe konstruiert werden, nahe.</w:t>
      </w:r>
    </w:p>
    <w:p w:rsidR="00613FF3" w:rsidRDefault="00B75E6E" w:rsidP="00DC4E31">
      <w:pPr>
        <w:pStyle w:val="Listenabsatz"/>
        <w:numPr>
          <w:ilvl w:val="0"/>
          <w:numId w:val="6"/>
        </w:numPr>
        <w:rPr>
          <w:sz w:val="28"/>
          <w:szCs w:val="28"/>
        </w:rPr>
      </w:pPr>
      <w:r>
        <w:rPr>
          <w:sz w:val="28"/>
          <w:szCs w:val="28"/>
        </w:rPr>
        <w:t>Zugenommen hat innerhalb des sonderpädagogischen Bedarfsspektrum</w:t>
      </w:r>
      <w:r w:rsidR="006B3421">
        <w:rPr>
          <w:sz w:val="28"/>
          <w:szCs w:val="28"/>
        </w:rPr>
        <w:t>s</w:t>
      </w:r>
      <w:r>
        <w:rPr>
          <w:sz w:val="28"/>
          <w:szCs w:val="28"/>
        </w:rPr>
        <w:t xml:space="preserve"> an allgemeinen Sch</w:t>
      </w:r>
      <w:r w:rsidR="00F0001C">
        <w:rPr>
          <w:sz w:val="28"/>
          <w:szCs w:val="28"/>
        </w:rPr>
        <w:t xml:space="preserve">ulen auch der Anteil der </w:t>
      </w:r>
      <w:r>
        <w:rPr>
          <w:sz w:val="28"/>
          <w:szCs w:val="28"/>
        </w:rPr>
        <w:t>emotional</w:t>
      </w:r>
      <w:r w:rsidR="00F0001C">
        <w:rPr>
          <w:sz w:val="28"/>
          <w:szCs w:val="28"/>
        </w:rPr>
        <w:t xml:space="preserve">-sozial </w:t>
      </w:r>
      <w:r>
        <w:rPr>
          <w:sz w:val="28"/>
          <w:szCs w:val="28"/>
        </w:rPr>
        <w:t xml:space="preserve"> beeinträchtigten Schüler*innen (ESE) um fast fünf Prozent. Weil der Förderschwerpunkt ESE sowohl in den Förderschulen wie auch in den allgemeinen Schulen zugenommen hat, kann dieser Effekt als ein Ausdruck eines nennenswerten Entlastungsbedarfs der nicht-inklusiven, allgemeinen Schulen gedeutet werden. Von Separation und Etikettierung sind am ehesten die Schüler*innen</w:t>
      </w:r>
      <w:r w:rsidR="00F0001C">
        <w:rPr>
          <w:sz w:val="28"/>
          <w:szCs w:val="28"/>
        </w:rPr>
        <w:t xml:space="preserve"> des Förderschwerpunktes Emotional-sozialen Entwicklung</w:t>
      </w:r>
      <w:r>
        <w:rPr>
          <w:sz w:val="28"/>
          <w:szCs w:val="28"/>
        </w:rPr>
        <w:t xml:space="preserve"> bedroht. Die „schwierigen“ Schüler stören das reibungslose Funktionieren des S</w:t>
      </w:r>
      <w:r w:rsidR="0019167C">
        <w:rPr>
          <w:sz w:val="28"/>
          <w:szCs w:val="28"/>
        </w:rPr>
        <w:t>chulbetriebs; sie werden deshalb auch als „Schläger“, „Chaoten“ oder neuerlich „Systemsprenger“ entweder per diag</w:t>
      </w:r>
      <w:r w:rsidR="002A71A2">
        <w:rPr>
          <w:sz w:val="28"/>
          <w:szCs w:val="28"/>
        </w:rPr>
        <w:t>n</w:t>
      </w:r>
      <w:r w:rsidR="0019167C">
        <w:rPr>
          <w:sz w:val="28"/>
          <w:szCs w:val="28"/>
        </w:rPr>
        <w:t>ostischem Et</w:t>
      </w:r>
      <w:r w:rsidR="002A71A2">
        <w:rPr>
          <w:sz w:val="28"/>
          <w:szCs w:val="28"/>
        </w:rPr>
        <w:t>ikett oder auch durch reale Aus</w:t>
      </w:r>
      <w:r w:rsidR="0019167C">
        <w:rPr>
          <w:sz w:val="28"/>
          <w:szCs w:val="28"/>
        </w:rPr>
        <w:t>sonderung abgespalten.</w:t>
      </w:r>
    </w:p>
    <w:p w:rsidR="0019167C" w:rsidRDefault="0019167C" w:rsidP="00DC4E31">
      <w:pPr>
        <w:pStyle w:val="Listenabsatz"/>
        <w:numPr>
          <w:ilvl w:val="0"/>
          <w:numId w:val="6"/>
        </w:numPr>
        <w:rPr>
          <w:sz w:val="28"/>
          <w:szCs w:val="28"/>
        </w:rPr>
      </w:pPr>
      <w:r>
        <w:rPr>
          <w:sz w:val="28"/>
          <w:szCs w:val="28"/>
        </w:rPr>
        <w:t xml:space="preserve">Schließlich ist bemerkenswert, dass in den allgemeinen Schulen der proportionale Anteil der Förderschwerpunkte Sprache und Lernen recht drastisch um insgesamt 13,8 Prozent gemindert wird. </w:t>
      </w:r>
    </w:p>
    <w:p w:rsidR="00C51065" w:rsidRDefault="00C51065" w:rsidP="00C51065">
      <w:pPr>
        <w:rPr>
          <w:sz w:val="28"/>
          <w:szCs w:val="28"/>
        </w:rPr>
      </w:pPr>
    </w:p>
    <w:p w:rsidR="00C51065" w:rsidRPr="00C51065" w:rsidRDefault="00C51065" w:rsidP="00C51065">
      <w:pPr>
        <w:rPr>
          <w:b/>
          <w:sz w:val="28"/>
          <w:szCs w:val="28"/>
        </w:rPr>
      </w:pPr>
      <w:r w:rsidRPr="00C51065">
        <w:rPr>
          <w:b/>
          <w:sz w:val="28"/>
          <w:szCs w:val="28"/>
        </w:rPr>
        <w:t>4.5 Diskussion der Ergebnisse</w:t>
      </w:r>
    </w:p>
    <w:p w:rsidR="0019167C" w:rsidRDefault="0019167C" w:rsidP="0019167C">
      <w:pPr>
        <w:rPr>
          <w:sz w:val="28"/>
          <w:szCs w:val="28"/>
        </w:rPr>
      </w:pPr>
    </w:p>
    <w:p w:rsidR="00BE17A8" w:rsidRDefault="0019167C">
      <w:pPr>
        <w:rPr>
          <w:sz w:val="28"/>
          <w:szCs w:val="28"/>
        </w:rPr>
      </w:pPr>
      <w:r>
        <w:rPr>
          <w:sz w:val="28"/>
          <w:szCs w:val="28"/>
        </w:rPr>
        <w:t>Die empirisch belegten und beschriebenen tektonischen Verschiebungen des Förderbedarfsspektrum</w:t>
      </w:r>
      <w:r w:rsidR="006B3421">
        <w:rPr>
          <w:sz w:val="28"/>
          <w:szCs w:val="28"/>
        </w:rPr>
        <w:t>s</w:t>
      </w:r>
      <w:r>
        <w:rPr>
          <w:sz w:val="28"/>
          <w:szCs w:val="28"/>
        </w:rPr>
        <w:t xml:space="preserve"> innerhalb der allgemeinen Schulen sind erheblich. Ein kritischer Einwand, dass es nicht angebracht sei, sich wegen weniger Prozente zu echauffi</w:t>
      </w:r>
      <w:r w:rsidR="00B06CDB">
        <w:rPr>
          <w:sz w:val="28"/>
          <w:szCs w:val="28"/>
        </w:rPr>
        <w:t>eren und von einem bedeutsamen</w:t>
      </w:r>
      <w:r>
        <w:rPr>
          <w:sz w:val="28"/>
          <w:szCs w:val="28"/>
        </w:rPr>
        <w:t xml:space="preserve"> Wandel zu sprechen, scheint nicht gerechtfertigt. Man bedenke die Größenordnung: Ein Prozent innerhalb der </w:t>
      </w:r>
      <w:r>
        <w:rPr>
          <w:sz w:val="28"/>
          <w:szCs w:val="28"/>
        </w:rPr>
        <w:lastRenderedPageBreak/>
        <w:t>Gesamtheit der Schüler*</w:t>
      </w:r>
      <w:r w:rsidR="00B06CDB">
        <w:rPr>
          <w:sz w:val="28"/>
          <w:szCs w:val="28"/>
        </w:rPr>
        <w:t>innen mit sonder</w:t>
      </w:r>
      <w:r>
        <w:rPr>
          <w:sz w:val="28"/>
          <w:szCs w:val="28"/>
        </w:rPr>
        <w:t xml:space="preserve">pädagogischem Förderbedarf in Bayern </w:t>
      </w:r>
      <w:r w:rsidR="00B06CDB">
        <w:rPr>
          <w:sz w:val="28"/>
          <w:szCs w:val="28"/>
        </w:rPr>
        <w:t xml:space="preserve">bedeutet im System der Förderschulen nominal </w:t>
      </w:r>
      <w:r w:rsidR="000F4D4E" w:rsidRPr="000F4D4E">
        <w:rPr>
          <w:sz w:val="28"/>
          <w:szCs w:val="28"/>
        </w:rPr>
        <w:t>ca. 420</w:t>
      </w:r>
      <w:r w:rsidR="00B06CDB" w:rsidRPr="000F4D4E">
        <w:rPr>
          <w:sz w:val="28"/>
          <w:szCs w:val="28"/>
        </w:rPr>
        <w:t xml:space="preserve"> </w:t>
      </w:r>
      <w:r w:rsidR="00B06CDB">
        <w:rPr>
          <w:sz w:val="28"/>
          <w:szCs w:val="28"/>
        </w:rPr>
        <w:t xml:space="preserve">Personen, im System der inklusiven allgemeinen Schulen nominal </w:t>
      </w:r>
      <w:r w:rsidR="000F4D4E" w:rsidRPr="000F4D4E">
        <w:rPr>
          <w:sz w:val="28"/>
          <w:szCs w:val="28"/>
        </w:rPr>
        <w:t>ca. 240</w:t>
      </w:r>
      <w:r w:rsidR="00B06CDB" w:rsidRPr="000F4D4E">
        <w:rPr>
          <w:sz w:val="28"/>
          <w:szCs w:val="28"/>
        </w:rPr>
        <w:t xml:space="preserve"> </w:t>
      </w:r>
      <w:r w:rsidR="00B06CDB">
        <w:rPr>
          <w:sz w:val="28"/>
          <w:szCs w:val="28"/>
        </w:rPr>
        <w:t xml:space="preserve">Personen. Das ist keine Kleinigkeit mehr, sondern </w:t>
      </w:r>
      <w:r w:rsidR="00184528">
        <w:rPr>
          <w:sz w:val="28"/>
          <w:szCs w:val="28"/>
        </w:rPr>
        <w:t>ein Indiz</w:t>
      </w:r>
      <w:r w:rsidR="00B06CDB">
        <w:rPr>
          <w:sz w:val="28"/>
          <w:szCs w:val="28"/>
        </w:rPr>
        <w:t xml:space="preserve"> eines signifikanten Wandels.</w:t>
      </w:r>
    </w:p>
    <w:p w:rsidR="00F453DE" w:rsidRDefault="00F453DE">
      <w:pPr>
        <w:rPr>
          <w:sz w:val="28"/>
          <w:szCs w:val="28"/>
        </w:rPr>
      </w:pPr>
    </w:p>
    <w:p w:rsidR="006A468B" w:rsidRDefault="00F453DE">
      <w:pPr>
        <w:rPr>
          <w:sz w:val="28"/>
          <w:szCs w:val="28"/>
        </w:rPr>
      </w:pPr>
      <w:r>
        <w:rPr>
          <w:sz w:val="28"/>
          <w:szCs w:val="28"/>
        </w:rPr>
        <w:t xml:space="preserve">Es ist auffällig, dass die Verschiebungen in den Spektren der sonderpädagogischen Förderbedarfe nur in den inklusiven, allgemeinen Schulen stattfinden, nicht aber im Sonderschulsystem selbst. </w:t>
      </w:r>
      <w:r w:rsidR="00340FCC">
        <w:rPr>
          <w:sz w:val="28"/>
          <w:szCs w:val="28"/>
        </w:rPr>
        <w:t xml:space="preserve">Warum verliert die sonderpädagogische Diagnostik vornehmlich in inklusiven Kontexten ihre Contenance? </w:t>
      </w:r>
      <w:r>
        <w:rPr>
          <w:sz w:val="28"/>
          <w:szCs w:val="28"/>
        </w:rPr>
        <w:t xml:space="preserve">Diese Differenz darf man wohl so interpretieren, dass die sonderpädagogische Diagnostik sich in den vertrauten Gefilden relativ sicher fühlt, in den neuen inklusiven Kontexten jedoch mit neuen Herausforderungen und auch Erwartungen konfrontiert wird. </w:t>
      </w:r>
      <w:r w:rsidR="006A468B">
        <w:rPr>
          <w:sz w:val="28"/>
          <w:szCs w:val="28"/>
        </w:rPr>
        <w:t xml:space="preserve">Die Interessen der ressourcenhungrigen Inklusion bleiben sicherlich nicht ohne Einfluss auf die </w:t>
      </w:r>
      <w:r w:rsidR="006050D0">
        <w:rPr>
          <w:sz w:val="28"/>
          <w:szCs w:val="28"/>
        </w:rPr>
        <w:t>Zuerkennung</w:t>
      </w:r>
      <w:r w:rsidR="006A468B">
        <w:rPr>
          <w:sz w:val="28"/>
          <w:szCs w:val="28"/>
        </w:rPr>
        <w:t xml:space="preserve"> von F</w:t>
      </w:r>
      <w:r w:rsidR="00E37330">
        <w:rPr>
          <w:sz w:val="28"/>
          <w:szCs w:val="28"/>
        </w:rPr>
        <w:t>örderbedarfen in den inklusiven, allgemeinen Schulen.</w:t>
      </w:r>
      <w:r w:rsidR="006050D0">
        <w:rPr>
          <w:sz w:val="28"/>
          <w:szCs w:val="28"/>
        </w:rPr>
        <w:t xml:space="preserve"> Ein Werk des Konstruktivismus!</w:t>
      </w:r>
    </w:p>
    <w:p w:rsidR="006A468B" w:rsidRDefault="006A468B">
      <w:pPr>
        <w:rPr>
          <w:sz w:val="28"/>
          <w:szCs w:val="28"/>
        </w:rPr>
      </w:pPr>
    </w:p>
    <w:p w:rsidR="00374513" w:rsidRDefault="00374513">
      <w:pPr>
        <w:rPr>
          <w:sz w:val="28"/>
          <w:szCs w:val="28"/>
        </w:rPr>
      </w:pPr>
      <w:r>
        <w:rPr>
          <w:sz w:val="28"/>
          <w:szCs w:val="28"/>
        </w:rPr>
        <w:t xml:space="preserve">Eine weiterführende und vertiefende Diskussion des vierten Teils erfolgt in der abschließenden Gesamtdiskussion (Teil </w:t>
      </w:r>
      <w:r w:rsidR="00340FCC">
        <w:rPr>
          <w:sz w:val="28"/>
          <w:szCs w:val="28"/>
        </w:rPr>
        <w:t>5</w:t>
      </w:r>
      <w:r>
        <w:rPr>
          <w:sz w:val="28"/>
          <w:szCs w:val="28"/>
        </w:rPr>
        <w:t>).</w:t>
      </w:r>
    </w:p>
    <w:p w:rsidR="00C51065" w:rsidRDefault="00C51065">
      <w:pPr>
        <w:rPr>
          <w:sz w:val="28"/>
          <w:szCs w:val="28"/>
        </w:rPr>
      </w:pPr>
    </w:p>
    <w:p w:rsidR="00C51065" w:rsidRDefault="00C51065">
      <w:pPr>
        <w:rPr>
          <w:sz w:val="28"/>
          <w:szCs w:val="28"/>
        </w:rPr>
      </w:pPr>
    </w:p>
    <w:p w:rsidR="00D3018B" w:rsidRDefault="00D3018B">
      <w:pPr>
        <w:rPr>
          <w:sz w:val="28"/>
          <w:szCs w:val="28"/>
        </w:rPr>
      </w:pPr>
    </w:p>
    <w:p w:rsidR="00BA580E" w:rsidRDefault="00BA580E"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Default="00DD5F2B" w:rsidP="00BA580E">
      <w:pPr>
        <w:rPr>
          <w:b/>
          <w:sz w:val="28"/>
          <w:szCs w:val="28"/>
        </w:rPr>
      </w:pPr>
    </w:p>
    <w:p w:rsidR="00DD5F2B" w:rsidRPr="00DD5F2B" w:rsidRDefault="00DD5F2B" w:rsidP="00BA580E">
      <w:pPr>
        <w:rPr>
          <w:b/>
          <w:sz w:val="28"/>
          <w:szCs w:val="28"/>
        </w:rPr>
        <w:sectPr w:rsidR="00DD5F2B" w:rsidRPr="00DD5F2B" w:rsidSect="00310A8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start="30"/>
          <w:cols w:space="708"/>
          <w:docGrid w:linePitch="360"/>
        </w:sectPr>
      </w:pPr>
    </w:p>
    <w:p w:rsidR="00BA580E" w:rsidRDefault="00FE69CA">
      <w:pPr>
        <w:rPr>
          <w:b/>
          <w:sz w:val="28"/>
          <w:szCs w:val="28"/>
        </w:rPr>
      </w:pPr>
      <w:r>
        <w:rPr>
          <w:b/>
          <w:sz w:val="28"/>
          <w:szCs w:val="28"/>
        </w:rPr>
        <w:lastRenderedPageBreak/>
        <w:t>Anhang</w:t>
      </w:r>
    </w:p>
    <w:p w:rsidR="00FE69CA" w:rsidRDefault="00FE69CA">
      <w:pPr>
        <w:rPr>
          <w:b/>
          <w:sz w:val="28"/>
          <w:szCs w:val="28"/>
        </w:rPr>
      </w:pPr>
    </w:p>
    <w:p w:rsidR="00FE69CA" w:rsidRDefault="00FE69CA">
      <w:pPr>
        <w:rPr>
          <w:b/>
          <w:sz w:val="28"/>
          <w:szCs w:val="28"/>
        </w:rPr>
      </w:pPr>
    </w:p>
    <w:tbl>
      <w:tblPr>
        <w:tblW w:w="13520" w:type="dxa"/>
        <w:tblCellMar>
          <w:left w:w="70" w:type="dxa"/>
          <w:right w:w="70" w:type="dxa"/>
        </w:tblCellMar>
        <w:tblLook w:val="04A0" w:firstRow="1" w:lastRow="0" w:firstColumn="1" w:lastColumn="0" w:noHBand="0" w:noVBand="1"/>
      </w:tblPr>
      <w:tblGrid>
        <w:gridCol w:w="967"/>
        <w:gridCol w:w="607"/>
        <w:gridCol w:w="793"/>
        <w:gridCol w:w="700"/>
        <w:gridCol w:w="700"/>
        <w:gridCol w:w="700"/>
        <w:gridCol w:w="700"/>
        <w:gridCol w:w="627"/>
        <w:gridCol w:w="773"/>
        <w:gridCol w:w="700"/>
        <w:gridCol w:w="700"/>
        <w:gridCol w:w="700"/>
        <w:gridCol w:w="700"/>
        <w:gridCol w:w="700"/>
        <w:gridCol w:w="700"/>
        <w:gridCol w:w="700"/>
        <w:gridCol w:w="698"/>
        <w:gridCol w:w="698"/>
        <w:gridCol w:w="762"/>
      </w:tblGrid>
      <w:tr w:rsidR="00FE69CA" w:rsidRPr="00BA580E" w:rsidTr="003D5A86">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 </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SEHEN</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HÖREN</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KME</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GEISTIGE E.</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SPRACHE</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LERNEN</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ESE</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DFK</w:t>
            </w:r>
          </w:p>
        </w:tc>
        <w:tc>
          <w:tcPr>
            <w:tcW w:w="2100" w:type="dxa"/>
            <w:gridSpan w:val="3"/>
            <w:tcBorders>
              <w:top w:val="single" w:sz="4" w:space="0" w:color="auto"/>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SUMMEN</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Schuljahr</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FS</w:t>
            </w:r>
          </w:p>
        </w:tc>
        <w:tc>
          <w:tcPr>
            <w:tcW w:w="700" w:type="dxa"/>
            <w:tcBorders>
              <w:top w:val="nil"/>
              <w:left w:val="nil"/>
              <w:bottom w:val="single" w:sz="4" w:space="0" w:color="auto"/>
              <w:right w:val="single" w:sz="4" w:space="0" w:color="auto"/>
            </w:tcBorders>
            <w:shd w:val="clear" w:color="auto" w:fill="auto"/>
            <w:noWrap/>
            <w:vAlign w:val="center"/>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w:t>
            </w:r>
          </w:p>
        </w:tc>
        <w:tc>
          <w:tcPr>
            <w:tcW w:w="700" w:type="dxa"/>
            <w:tcBorders>
              <w:top w:val="nil"/>
              <w:left w:val="nil"/>
              <w:bottom w:val="single" w:sz="4" w:space="0" w:color="auto"/>
              <w:right w:val="single" w:sz="4" w:space="0" w:color="auto"/>
            </w:tcBorders>
            <w:shd w:val="clear" w:color="auto" w:fill="auto"/>
            <w:noWrap/>
            <w:vAlign w:val="center"/>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FS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FS</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FS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FS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FS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FS</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 </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FS</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cente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AS + FS</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2008/09</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105</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1016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231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1876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245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3120</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263</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11019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1624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4226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6899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20715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1977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3268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11530</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11344</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56770</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68114</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2009/10</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103</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1022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230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1916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3127</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252</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11075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1597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3938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6647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20261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1881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3338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11472</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10917</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56149</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67066</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2010/11</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118</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1027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779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1927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351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3131</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306</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11045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1831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3809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8617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19729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2532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3433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10813</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14534</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54914</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69448</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2011/12</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182</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998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731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1967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395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3092</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311</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10964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1803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3650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9829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18954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2890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3680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10190</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16141</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53495</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69636</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2012/13</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177</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985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770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1850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475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3124</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428</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10766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2028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3492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11060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18961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3259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3841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9661</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18197</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52680</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70877</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2013/14</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198</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947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856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1871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500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3176</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461</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10504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2212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3491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11530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18141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3532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4092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9309</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19289</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51623</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70912</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2014/15</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203</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930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895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1895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541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3110</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525</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10408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2148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3398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11843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17724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3685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4232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9518</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19840</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51309</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71149</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2015/16</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212</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930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944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1918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565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3077</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630</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10355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2103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3219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11947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17820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3899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4228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9339</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20300</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51019</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71319</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2016/17</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223</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929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894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1873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577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3065</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666</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10572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2071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3036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11263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18106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3731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4061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9680</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19425</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51338</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70763</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2017/18</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279</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925</w:t>
            </w:r>
          </w:p>
        </w:tc>
        <w:tc>
          <w:tcPr>
            <w:tcW w:w="700" w:type="dxa"/>
            <w:tcBorders>
              <w:top w:val="nil"/>
              <w:left w:val="nil"/>
              <w:bottom w:val="single" w:sz="4" w:space="0" w:color="auto"/>
              <w:right w:val="single" w:sz="4" w:space="0" w:color="auto"/>
            </w:tcBorders>
            <w:shd w:val="clear" w:color="000000" w:fill="F2F2F2"/>
            <w:noWrap/>
            <w:vAlign w:val="bottom"/>
            <w:hideMark/>
          </w:tcPr>
          <w:p w:rsidR="00FE69CA" w:rsidRPr="00BA580E" w:rsidRDefault="00FE69CA" w:rsidP="003D5A86">
            <w:pPr>
              <w:jc w:val="right"/>
              <w:rPr>
                <w:rFonts w:ascii="Calibri" w:eastAsia="Times New Roman" w:hAnsi="Calibri" w:cs="Calibri"/>
                <w:sz w:val="22"/>
                <w:lang w:eastAsia="de-DE"/>
              </w:rPr>
            </w:pPr>
            <w:r w:rsidRPr="00BA580E">
              <w:rPr>
                <w:rFonts w:ascii="Calibri" w:eastAsia="Times New Roman" w:hAnsi="Calibri" w:cs="Calibri"/>
                <w:sz w:val="22"/>
                <w:lang w:eastAsia="de-DE"/>
              </w:rPr>
              <w:t>1154</w:t>
            </w:r>
          </w:p>
        </w:tc>
        <w:tc>
          <w:tcPr>
            <w:tcW w:w="700" w:type="dxa"/>
            <w:tcBorders>
              <w:top w:val="nil"/>
              <w:left w:val="nil"/>
              <w:bottom w:val="single" w:sz="4" w:space="0" w:color="auto"/>
              <w:right w:val="single" w:sz="4" w:space="0" w:color="auto"/>
            </w:tcBorders>
            <w:shd w:val="clear" w:color="000000" w:fill="F2F2F2"/>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1903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734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3051</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811</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10810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1980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2833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11478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18159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4141</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4143</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10005</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20577</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52024</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72601</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2018/19</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335</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915</w:t>
            </w:r>
          </w:p>
        </w:tc>
        <w:tc>
          <w:tcPr>
            <w:tcW w:w="700" w:type="dxa"/>
            <w:tcBorders>
              <w:top w:val="nil"/>
              <w:left w:val="nil"/>
              <w:bottom w:val="single" w:sz="4" w:space="0" w:color="auto"/>
              <w:right w:val="single" w:sz="4" w:space="0" w:color="auto"/>
            </w:tcBorders>
            <w:shd w:val="clear" w:color="000000" w:fill="F2F2F2"/>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1414</w:t>
            </w:r>
          </w:p>
        </w:tc>
        <w:tc>
          <w:tcPr>
            <w:tcW w:w="700" w:type="dxa"/>
            <w:tcBorders>
              <w:top w:val="nil"/>
              <w:left w:val="nil"/>
              <w:bottom w:val="single" w:sz="4" w:space="0" w:color="auto"/>
              <w:right w:val="single" w:sz="4" w:space="0" w:color="auto"/>
            </w:tcBorders>
            <w:shd w:val="clear" w:color="000000" w:fill="F2F2F2"/>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1905</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890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3035</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955</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11058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1888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2830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11692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18319</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4550</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4284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10381</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21724</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52891</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74615</w:t>
            </w:r>
          </w:p>
        </w:tc>
      </w:tr>
      <w:tr w:rsidR="00FE69CA" w:rsidRPr="00BA580E" w:rsidTr="003D5A86">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E69CA" w:rsidRPr="00BA580E" w:rsidRDefault="00FE69CA" w:rsidP="003D5A86">
            <w:pPr>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2019/20</w:t>
            </w:r>
          </w:p>
        </w:tc>
        <w:tc>
          <w:tcPr>
            <w:tcW w:w="60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392</w:t>
            </w:r>
          </w:p>
        </w:tc>
        <w:tc>
          <w:tcPr>
            <w:tcW w:w="79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903</w:t>
            </w:r>
          </w:p>
        </w:tc>
        <w:tc>
          <w:tcPr>
            <w:tcW w:w="700" w:type="dxa"/>
            <w:tcBorders>
              <w:top w:val="nil"/>
              <w:left w:val="nil"/>
              <w:bottom w:val="single" w:sz="4" w:space="0" w:color="auto"/>
              <w:right w:val="single" w:sz="4" w:space="0" w:color="auto"/>
            </w:tcBorders>
            <w:shd w:val="clear" w:color="000000" w:fill="F2F2F2"/>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1449</w:t>
            </w:r>
          </w:p>
        </w:tc>
        <w:tc>
          <w:tcPr>
            <w:tcW w:w="700" w:type="dxa"/>
            <w:tcBorders>
              <w:top w:val="nil"/>
              <w:left w:val="nil"/>
              <w:bottom w:val="single" w:sz="4" w:space="0" w:color="auto"/>
              <w:right w:val="single" w:sz="4" w:space="0" w:color="auto"/>
            </w:tcBorders>
            <w:shd w:val="clear" w:color="000000" w:fill="F2F2F2"/>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1878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1006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2857</w:t>
            </w:r>
          </w:p>
        </w:tc>
        <w:tc>
          <w:tcPr>
            <w:tcW w:w="627"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1055</w:t>
            </w:r>
          </w:p>
        </w:tc>
        <w:tc>
          <w:tcPr>
            <w:tcW w:w="773"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11266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1997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2646</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12912</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18634</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5397</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4008</w:t>
            </w:r>
          </w:p>
        </w:tc>
        <w:tc>
          <w:tcPr>
            <w:tcW w:w="700"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10363</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24208</w:t>
            </w:r>
          </w:p>
        </w:tc>
        <w:tc>
          <w:tcPr>
            <w:tcW w:w="669"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52716</w:t>
            </w:r>
          </w:p>
        </w:tc>
        <w:tc>
          <w:tcPr>
            <w:tcW w:w="762" w:type="dxa"/>
            <w:tcBorders>
              <w:top w:val="nil"/>
              <w:left w:val="nil"/>
              <w:bottom w:val="single" w:sz="4" w:space="0" w:color="auto"/>
              <w:right w:val="single" w:sz="4" w:space="0" w:color="auto"/>
            </w:tcBorders>
            <w:shd w:val="clear" w:color="auto" w:fill="auto"/>
            <w:noWrap/>
            <w:vAlign w:val="bottom"/>
            <w:hideMark/>
          </w:tcPr>
          <w:p w:rsidR="00FE69CA" w:rsidRPr="00BA580E" w:rsidRDefault="00FE69CA" w:rsidP="003D5A86">
            <w:pPr>
              <w:jc w:val="right"/>
              <w:rPr>
                <w:rFonts w:ascii="Calibri" w:eastAsia="Times New Roman" w:hAnsi="Calibri" w:cs="Calibri"/>
                <w:color w:val="000000"/>
                <w:sz w:val="22"/>
                <w:lang w:eastAsia="de-DE"/>
              </w:rPr>
            </w:pPr>
            <w:r w:rsidRPr="00BA580E">
              <w:rPr>
                <w:rFonts w:ascii="Calibri" w:eastAsia="Times New Roman" w:hAnsi="Calibri" w:cs="Calibri"/>
                <w:color w:val="000000"/>
                <w:sz w:val="22"/>
                <w:lang w:eastAsia="de-DE"/>
              </w:rPr>
              <w:t>76924</w:t>
            </w:r>
          </w:p>
        </w:tc>
      </w:tr>
    </w:tbl>
    <w:p w:rsidR="00BA580E" w:rsidRDefault="00BA580E">
      <w:pPr>
        <w:rPr>
          <w:b/>
          <w:sz w:val="28"/>
          <w:szCs w:val="28"/>
        </w:rPr>
      </w:pPr>
    </w:p>
    <w:p w:rsidR="00BA580E" w:rsidRDefault="00BA580E" w:rsidP="00BA580E">
      <w:pPr>
        <w:rPr>
          <w:sz w:val="28"/>
          <w:szCs w:val="28"/>
        </w:rPr>
      </w:pPr>
      <w:r w:rsidRPr="00BA580E">
        <w:rPr>
          <w:sz w:val="28"/>
          <w:szCs w:val="28"/>
        </w:rPr>
        <w:t>Tab.: Entwicklung der sonderpädagogischen Förderbedarfe in Allgemeinen Schulen (AS) und in Förderschulen (FS)</w:t>
      </w:r>
    </w:p>
    <w:p w:rsidR="00DD5F2B" w:rsidRPr="00DD5F2B" w:rsidRDefault="00BA580E" w:rsidP="00BA580E">
      <w:pPr>
        <w:rPr>
          <w:sz w:val="28"/>
          <w:szCs w:val="28"/>
        </w:rPr>
        <w:sectPr w:rsidR="00DD5F2B" w:rsidRPr="00DD5F2B" w:rsidSect="0072495A">
          <w:pgSz w:w="16838" w:h="11906" w:orient="landscape" w:code="9"/>
          <w:pgMar w:top="1418" w:right="1134" w:bottom="1418" w:left="1418" w:header="709" w:footer="709" w:gutter="0"/>
          <w:cols w:space="708"/>
          <w:docGrid w:linePitch="360"/>
        </w:sectPr>
      </w:pPr>
      <w:r w:rsidRPr="00BA580E">
        <w:rPr>
          <w:sz w:val="28"/>
          <w:szCs w:val="28"/>
        </w:rPr>
        <w:t>(ohne Kranke)</w:t>
      </w:r>
      <w:r>
        <w:rPr>
          <w:sz w:val="28"/>
          <w:szCs w:val="28"/>
        </w:rPr>
        <w:t xml:space="preserve"> </w:t>
      </w:r>
      <w:r w:rsidRPr="00BA580E">
        <w:rPr>
          <w:sz w:val="28"/>
          <w:szCs w:val="28"/>
        </w:rPr>
        <w:t>(KME = Körperlich-motorische Entwicklung; ESE = Emotional-soziale Entwicklung;</w:t>
      </w:r>
      <w:r>
        <w:rPr>
          <w:sz w:val="28"/>
          <w:szCs w:val="28"/>
        </w:rPr>
        <w:t xml:space="preserve"> DFK = Diagnose- und F</w:t>
      </w:r>
      <w:r w:rsidR="00DD5F2B">
        <w:rPr>
          <w:sz w:val="28"/>
          <w:szCs w:val="28"/>
        </w:rPr>
        <w:t>örderklassen)</w:t>
      </w:r>
    </w:p>
    <w:p w:rsidR="00DD5F2B" w:rsidRDefault="00DD5F2B" w:rsidP="00DD5F2B">
      <w:pPr>
        <w:rPr>
          <w:sz w:val="28"/>
          <w:szCs w:val="28"/>
        </w:rPr>
      </w:pPr>
      <w:r>
        <w:rPr>
          <w:sz w:val="28"/>
          <w:szCs w:val="28"/>
        </w:rPr>
        <w:lastRenderedPageBreak/>
        <w:t xml:space="preserve">Um Vergleiche zu ermöglichen, sollen im Anhang die Komposition der verschiedenen Förderbedarfe im gesamten Bedarfsspektrum innerhalb der Bundesrepublik Deutschland </w:t>
      </w:r>
      <w:r w:rsidRPr="00A3365D">
        <w:rPr>
          <w:i/>
          <w:sz w:val="28"/>
          <w:szCs w:val="28"/>
        </w:rPr>
        <w:t>(BRD)</w:t>
      </w:r>
      <w:r>
        <w:rPr>
          <w:sz w:val="28"/>
          <w:szCs w:val="28"/>
        </w:rPr>
        <w:t xml:space="preserve"> grafisch anschaulich gemacht werden.</w:t>
      </w:r>
    </w:p>
    <w:p w:rsidR="00DD5F2B" w:rsidRDefault="00DD5F2B" w:rsidP="00DD5F2B">
      <w:pPr>
        <w:rPr>
          <w:i/>
          <w:sz w:val="28"/>
          <w:szCs w:val="28"/>
        </w:rPr>
      </w:pPr>
    </w:p>
    <w:p w:rsidR="00DD5F2B" w:rsidRDefault="00DD5F2B" w:rsidP="00DD5F2B">
      <w:pPr>
        <w:rPr>
          <w:i/>
          <w:sz w:val="28"/>
          <w:szCs w:val="28"/>
        </w:rPr>
      </w:pPr>
      <w:r>
        <w:rPr>
          <w:i/>
          <w:noProof/>
          <w:sz w:val="28"/>
          <w:szCs w:val="28"/>
          <w:lang w:eastAsia="de-DE"/>
        </w:rPr>
        <w:drawing>
          <wp:inline distT="0" distB="0" distL="0" distR="0" wp14:anchorId="0C1FD2FE" wp14:editId="3BEE00F0">
            <wp:extent cx="5813494" cy="201600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b="46408"/>
                    <a:stretch/>
                  </pic:blipFill>
                  <pic:spPr bwMode="auto">
                    <a:xfrm>
                      <a:off x="0" y="0"/>
                      <a:ext cx="5861570" cy="2032672"/>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50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000"/>
        <w:gridCol w:w="1000"/>
        <w:gridCol w:w="1001"/>
        <w:gridCol w:w="1001"/>
        <w:gridCol w:w="1001"/>
        <w:gridCol w:w="1001"/>
        <w:gridCol w:w="1001"/>
      </w:tblGrid>
      <w:tr w:rsidR="00DD5F2B" w:rsidRPr="000B0070" w:rsidTr="00D12B8C">
        <w:trPr>
          <w:trHeight w:val="300"/>
        </w:trPr>
        <w:tc>
          <w:tcPr>
            <w:tcW w:w="1500" w:type="dxa"/>
            <w:shd w:val="clear" w:color="auto" w:fill="auto"/>
            <w:noWrap/>
            <w:vAlign w:val="bottom"/>
            <w:hideMark/>
          </w:tcPr>
          <w:p w:rsidR="00DD5F2B" w:rsidRPr="002E50C0" w:rsidRDefault="00DD5F2B" w:rsidP="003D5A86">
            <w:pPr>
              <w:rPr>
                <w:rFonts w:eastAsia="Times New Roman"/>
                <w:b/>
                <w:szCs w:val="24"/>
                <w:lang w:eastAsia="de-DE"/>
              </w:rPr>
            </w:pPr>
            <w:bookmarkStart w:id="0" w:name="_GoBack"/>
            <w:bookmarkEnd w:id="0"/>
          </w:p>
        </w:tc>
        <w:tc>
          <w:tcPr>
            <w:tcW w:w="1000"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SEH</w:t>
            </w:r>
          </w:p>
        </w:tc>
        <w:tc>
          <w:tcPr>
            <w:tcW w:w="1000"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HÖR</w:t>
            </w:r>
          </w:p>
        </w:tc>
        <w:tc>
          <w:tcPr>
            <w:tcW w:w="1001"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KME</w:t>
            </w:r>
          </w:p>
        </w:tc>
        <w:tc>
          <w:tcPr>
            <w:tcW w:w="1001"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GE</w:t>
            </w:r>
          </w:p>
        </w:tc>
        <w:tc>
          <w:tcPr>
            <w:tcW w:w="1001"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SPR</w:t>
            </w:r>
          </w:p>
        </w:tc>
        <w:tc>
          <w:tcPr>
            <w:tcW w:w="1001"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LERN</w:t>
            </w:r>
          </w:p>
        </w:tc>
        <w:tc>
          <w:tcPr>
            <w:tcW w:w="1001"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ESE</w:t>
            </w:r>
          </w:p>
        </w:tc>
      </w:tr>
      <w:tr w:rsidR="00DD5F2B" w:rsidRPr="000B0070" w:rsidTr="00D12B8C">
        <w:trPr>
          <w:trHeight w:val="300"/>
        </w:trPr>
        <w:tc>
          <w:tcPr>
            <w:tcW w:w="1500"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09/10</w:t>
            </w:r>
          </w:p>
        </w:tc>
        <w:tc>
          <w:tcPr>
            <w:tcW w:w="1000"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1,3</w:t>
            </w:r>
          </w:p>
        </w:tc>
        <w:tc>
          <w:tcPr>
            <w:tcW w:w="1000"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2,8</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6,4</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19,4</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9,7</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42,1</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9,4</w:t>
            </w:r>
          </w:p>
        </w:tc>
      </w:tr>
      <w:tr w:rsidR="00DD5F2B" w:rsidRPr="000B0070" w:rsidTr="00D12B8C">
        <w:trPr>
          <w:trHeight w:val="300"/>
        </w:trPr>
        <w:tc>
          <w:tcPr>
            <w:tcW w:w="1500" w:type="dxa"/>
            <w:shd w:val="clear" w:color="auto" w:fill="auto"/>
            <w:noWrap/>
            <w:vAlign w:val="bottom"/>
            <w:hideMark/>
          </w:tcPr>
          <w:p w:rsidR="00DD5F2B" w:rsidRPr="000B0070" w:rsidRDefault="00DD5F2B" w:rsidP="003D5A86">
            <w:pPr>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18/19</w:t>
            </w:r>
          </w:p>
        </w:tc>
        <w:tc>
          <w:tcPr>
            <w:tcW w:w="1000"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1,4</w:t>
            </w:r>
          </w:p>
        </w:tc>
        <w:tc>
          <w:tcPr>
            <w:tcW w:w="1000"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3,3</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7,4</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25,4</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8,9</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26,5</w:t>
            </w:r>
          </w:p>
        </w:tc>
        <w:tc>
          <w:tcPr>
            <w:tcW w:w="1001" w:type="dxa"/>
            <w:shd w:val="clear" w:color="auto" w:fill="auto"/>
            <w:noWrap/>
            <w:vAlign w:val="bottom"/>
            <w:hideMark/>
          </w:tcPr>
          <w:p w:rsidR="00DD5F2B" w:rsidRPr="000B0070" w:rsidRDefault="00DD5F2B" w:rsidP="003D5A86">
            <w:pPr>
              <w:jc w:val="right"/>
              <w:rPr>
                <w:rFonts w:ascii="Calibri" w:eastAsia="Times New Roman" w:hAnsi="Calibri" w:cs="Calibri"/>
                <w:color w:val="000000"/>
                <w:sz w:val="22"/>
                <w:lang w:eastAsia="de-DE"/>
              </w:rPr>
            </w:pPr>
            <w:r w:rsidRPr="000B0070">
              <w:rPr>
                <w:rFonts w:ascii="Calibri" w:eastAsia="Times New Roman" w:hAnsi="Calibri" w:cs="Calibri"/>
                <w:color w:val="000000"/>
                <w:sz w:val="22"/>
                <w:lang w:eastAsia="de-DE"/>
              </w:rPr>
              <w:t>12,9</w:t>
            </w:r>
          </w:p>
        </w:tc>
      </w:tr>
    </w:tbl>
    <w:p w:rsidR="00DD5F2B" w:rsidRDefault="00DD5F2B" w:rsidP="00DD5F2B">
      <w:pPr>
        <w:rPr>
          <w:sz w:val="28"/>
          <w:szCs w:val="28"/>
        </w:rPr>
      </w:pPr>
    </w:p>
    <w:p w:rsidR="00DD5F2B" w:rsidRDefault="00DD5F2B" w:rsidP="00DD5F2B">
      <w:pPr>
        <w:rPr>
          <w:sz w:val="28"/>
          <w:szCs w:val="28"/>
        </w:rPr>
      </w:pPr>
      <w:r>
        <w:rPr>
          <w:sz w:val="28"/>
          <w:szCs w:val="28"/>
        </w:rPr>
        <w:t xml:space="preserve">Tab. 1: Spektrum der Förderbedarfe in </w:t>
      </w:r>
      <w:r w:rsidRPr="004517B7">
        <w:rPr>
          <w:i/>
          <w:sz w:val="28"/>
          <w:szCs w:val="28"/>
        </w:rPr>
        <w:t>Förderschulen</w:t>
      </w:r>
      <w:r>
        <w:rPr>
          <w:sz w:val="28"/>
          <w:szCs w:val="28"/>
        </w:rPr>
        <w:t>: Verteilung der sonderpädagogischen Förderschwerpunkt (SPF) in Förderschulen in der BRD von 2009/10 bis 2018/19 (in Prozent)</w:t>
      </w:r>
    </w:p>
    <w:p w:rsidR="00DD5F2B" w:rsidRDefault="00DD5F2B" w:rsidP="00DD5F2B">
      <w:pPr>
        <w:rPr>
          <w:sz w:val="28"/>
          <w:szCs w:val="28"/>
        </w:rPr>
      </w:pPr>
    </w:p>
    <w:p w:rsidR="00DD5F2B" w:rsidRDefault="00DD5F2B" w:rsidP="00DD5F2B">
      <w:pPr>
        <w:rPr>
          <w:sz w:val="28"/>
          <w:szCs w:val="28"/>
        </w:rPr>
      </w:pPr>
      <w:r>
        <w:rPr>
          <w:noProof/>
          <w:sz w:val="28"/>
          <w:szCs w:val="28"/>
          <w:lang w:eastAsia="de-DE"/>
        </w:rPr>
        <w:drawing>
          <wp:inline distT="0" distB="0" distL="0" distR="0" wp14:anchorId="34A6C68A" wp14:editId="7D1B5D51">
            <wp:extent cx="5946775" cy="2412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7" t="3446" r="-1023" b="33998"/>
                    <a:stretch/>
                  </pic:blipFill>
                  <pic:spPr bwMode="auto">
                    <a:xfrm>
                      <a:off x="0" y="0"/>
                      <a:ext cx="5996669" cy="2432237"/>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505"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8"/>
        <w:gridCol w:w="1011"/>
        <w:gridCol w:w="1011"/>
        <w:gridCol w:w="1011"/>
        <w:gridCol w:w="1011"/>
        <w:gridCol w:w="1011"/>
        <w:gridCol w:w="1011"/>
        <w:gridCol w:w="1011"/>
      </w:tblGrid>
      <w:tr w:rsidR="00DD5F2B" w:rsidRPr="004517B7" w:rsidTr="00F0001C">
        <w:trPr>
          <w:trHeight w:val="300"/>
        </w:trPr>
        <w:tc>
          <w:tcPr>
            <w:tcW w:w="130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Schuljahr</w:t>
            </w:r>
          </w:p>
        </w:tc>
        <w:tc>
          <w:tcPr>
            <w:tcW w:w="92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SEH</w:t>
            </w:r>
          </w:p>
        </w:tc>
        <w:tc>
          <w:tcPr>
            <w:tcW w:w="92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HÖR</w:t>
            </w:r>
          </w:p>
        </w:tc>
        <w:tc>
          <w:tcPr>
            <w:tcW w:w="92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KME</w:t>
            </w:r>
          </w:p>
        </w:tc>
        <w:tc>
          <w:tcPr>
            <w:tcW w:w="92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GE</w:t>
            </w:r>
          </w:p>
        </w:tc>
        <w:tc>
          <w:tcPr>
            <w:tcW w:w="92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SPR</w:t>
            </w:r>
          </w:p>
        </w:tc>
        <w:tc>
          <w:tcPr>
            <w:tcW w:w="92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LER</w:t>
            </w:r>
          </w:p>
        </w:tc>
        <w:tc>
          <w:tcPr>
            <w:tcW w:w="92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ESE</w:t>
            </w:r>
          </w:p>
        </w:tc>
      </w:tr>
      <w:tr w:rsidR="00DD5F2B" w:rsidRPr="004517B7" w:rsidTr="00F0001C">
        <w:trPr>
          <w:trHeight w:val="300"/>
        </w:trPr>
        <w:tc>
          <w:tcPr>
            <w:tcW w:w="130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09/10</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2,1</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4,3</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7</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2,8</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15,2</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44,6</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23,2</w:t>
            </w:r>
          </w:p>
        </w:tc>
      </w:tr>
      <w:tr w:rsidR="00DD5F2B" w:rsidRPr="004517B7" w:rsidTr="00F0001C">
        <w:trPr>
          <w:trHeight w:val="300"/>
        </w:trPr>
        <w:tc>
          <w:tcPr>
            <w:tcW w:w="1300" w:type="dxa"/>
            <w:shd w:val="clear" w:color="auto" w:fill="auto"/>
            <w:noWrap/>
            <w:vAlign w:val="bottom"/>
            <w:hideMark/>
          </w:tcPr>
          <w:p w:rsidR="00DD5F2B" w:rsidRPr="004517B7" w:rsidRDefault="00DD5F2B" w:rsidP="003D5A86">
            <w:pPr>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18/19</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2</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4,9</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5,9</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5,4</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11,8</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45,6</w:t>
            </w:r>
          </w:p>
        </w:tc>
        <w:tc>
          <w:tcPr>
            <w:tcW w:w="920" w:type="dxa"/>
            <w:shd w:val="clear" w:color="auto" w:fill="auto"/>
            <w:noWrap/>
            <w:vAlign w:val="bottom"/>
            <w:hideMark/>
          </w:tcPr>
          <w:p w:rsidR="00DD5F2B" w:rsidRPr="004517B7" w:rsidRDefault="00DD5F2B" w:rsidP="003D5A86">
            <w:pPr>
              <w:jc w:val="right"/>
              <w:rPr>
                <w:rFonts w:ascii="Calibri" w:eastAsia="Times New Roman" w:hAnsi="Calibri" w:cs="Calibri"/>
                <w:color w:val="000000"/>
                <w:sz w:val="22"/>
                <w:lang w:eastAsia="de-DE"/>
              </w:rPr>
            </w:pPr>
            <w:r w:rsidRPr="004517B7">
              <w:rPr>
                <w:rFonts w:ascii="Calibri" w:eastAsia="Times New Roman" w:hAnsi="Calibri" w:cs="Calibri"/>
                <w:color w:val="000000"/>
                <w:sz w:val="22"/>
                <w:lang w:eastAsia="de-DE"/>
              </w:rPr>
              <w:t>23,1</w:t>
            </w:r>
          </w:p>
        </w:tc>
      </w:tr>
    </w:tbl>
    <w:p w:rsidR="00DD5F2B" w:rsidRDefault="00DD5F2B" w:rsidP="00DD5F2B">
      <w:pPr>
        <w:rPr>
          <w:sz w:val="28"/>
          <w:szCs w:val="28"/>
        </w:rPr>
      </w:pPr>
    </w:p>
    <w:p w:rsidR="00DD5F2B" w:rsidRDefault="00DD5F2B" w:rsidP="00DD5F2B">
      <w:pPr>
        <w:rPr>
          <w:sz w:val="28"/>
          <w:szCs w:val="28"/>
        </w:rPr>
      </w:pPr>
      <w:r>
        <w:rPr>
          <w:sz w:val="28"/>
          <w:szCs w:val="28"/>
        </w:rPr>
        <w:t xml:space="preserve">Tab. 2: Spektrum der Förderbedarfe in </w:t>
      </w:r>
      <w:r>
        <w:rPr>
          <w:i/>
          <w:sz w:val="28"/>
          <w:szCs w:val="28"/>
        </w:rPr>
        <w:t>allgemeinen Schulen</w:t>
      </w:r>
      <w:r>
        <w:rPr>
          <w:sz w:val="28"/>
          <w:szCs w:val="28"/>
        </w:rPr>
        <w:t>: Verteilung der sonderpädagogischen Förderschwerpunkte (SPF) in allgemeinen Schulen in der BRD von 2009/10 bis 2018/19 (in Prozent)</w:t>
      </w:r>
    </w:p>
    <w:p w:rsidR="00DD5F2B" w:rsidRDefault="00DD5F2B" w:rsidP="00DD5F2B">
      <w:pPr>
        <w:rPr>
          <w:sz w:val="28"/>
          <w:szCs w:val="28"/>
        </w:rPr>
      </w:pPr>
    </w:p>
    <w:p w:rsidR="00DD5F2B" w:rsidRDefault="00DD5F2B" w:rsidP="00DD5F2B">
      <w:pPr>
        <w:rPr>
          <w:sz w:val="28"/>
          <w:szCs w:val="28"/>
        </w:rPr>
      </w:pPr>
      <w:r>
        <w:rPr>
          <w:sz w:val="28"/>
          <w:szCs w:val="28"/>
        </w:rPr>
        <w:lastRenderedPageBreak/>
        <w:t xml:space="preserve">Die auffälligsten Veränderungen in der Verteilung der sonderpädagogischen Förderschwerpunkte in den </w:t>
      </w:r>
      <w:r w:rsidRPr="009900EC">
        <w:rPr>
          <w:i/>
          <w:sz w:val="28"/>
          <w:szCs w:val="28"/>
        </w:rPr>
        <w:t>Förderschulen</w:t>
      </w:r>
      <w:r>
        <w:rPr>
          <w:sz w:val="28"/>
          <w:szCs w:val="28"/>
        </w:rPr>
        <w:t xml:space="preserve"> der BRD sind:</w:t>
      </w:r>
    </w:p>
    <w:p w:rsidR="00DD5F2B" w:rsidRDefault="00DD5F2B" w:rsidP="00DD5F2B">
      <w:pPr>
        <w:rPr>
          <w:sz w:val="28"/>
          <w:szCs w:val="28"/>
        </w:rPr>
      </w:pPr>
    </w:p>
    <w:p w:rsidR="00DD5F2B" w:rsidRDefault="00DD5F2B" w:rsidP="00DD5F2B">
      <w:pPr>
        <w:pStyle w:val="Listenabsatz"/>
        <w:numPr>
          <w:ilvl w:val="0"/>
          <w:numId w:val="3"/>
        </w:numPr>
        <w:rPr>
          <w:sz w:val="28"/>
          <w:szCs w:val="28"/>
        </w:rPr>
      </w:pPr>
      <w:r>
        <w:rPr>
          <w:sz w:val="28"/>
          <w:szCs w:val="28"/>
        </w:rPr>
        <w:t>Im System der Förderschulen bricht der relative Anteil der Schüler*innen mit dem Förderschwerpunkt Lernen recht kräftig um 16 Prozent, der Schülerinnen mit dem Förderschwerpunkt Sprache nur geringfügig um 1,8 Prozent ein.</w:t>
      </w:r>
    </w:p>
    <w:p w:rsidR="00DD5F2B" w:rsidRDefault="00DD5F2B" w:rsidP="00DD5F2B">
      <w:pPr>
        <w:pStyle w:val="Listenabsatz"/>
        <w:numPr>
          <w:ilvl w:val="0"/>
          <w:numId w:val="3"/>
        </w:numPr>
        <w:rPr>
          <w:sz w:val="28"/>
          <w:szCs w:val="28"/>
        </w:rPr>
      </w:pPr>
      <w:r>
        <w:rPr>
          <w:sz w:val="28"/>
          <w:szCs w:val="28"/>
        </w:rPr>
        <w:t>Die Förderschwerpunkte Sehen, Hören, Körperlich-motorische Entwicklung können ihren gewohnten relativen Anteil im System der Förderschulen stabilisieren.</w:t>
      </w:r>
    </w:p>
    <w:p w:rsidR="00DD5F2B" w:rsidRDefault="00DD5F2B" w:rsidP="00DD5F2B">
      <w:pPr>
        <w:pStyle w:val="Listenabsatz"/>
        <w:numPr>
          <w:ilvl w:val="0"/>
          <w:numId w:val="3"/>
        </w:numPr>
        <w:rPr>
          <w:sz w:val="28"/>
          <w:szCs w:val="28"/>
        </w:rPr>
      </w:pPr>
      <w:r>
        <w:rPr>
          <w:sz w:val="28"/>
          <w:szCs w:val="28"/>
        </w:rPr>
        <w:t>Eine deutliche Steigerung des relativen Anteils im Förderschulsystem um 6 Prozent verzeichnen der Förderschwerpunkt Geistige Entwicklung und der Förderschwerpunkt Sozial-emotionale Entwicklung um 3,5 Prozent.</w:t>
      </w:r>
    </w:p>
    <w:p w:rsidR="00DD5F2B" w:rsidRDefault="00DD5F2B" w:rsidP="00DD5F2B">
      <w:pPr>
        <w:rPr>
          <w:sz w:val="28"/>
          <w:szCs w:val="28"/>
        </w:rPr>
      </w:pPr>
    </w:p>
    <w:p w:rsidR="00DD5F2B" w:rsidRDefault="00DD5F2B" w:rsidP="00DD5F2B">
      <w:pPr>
        <w:rPr>
          <w:sz w:val="28"/>
          <w:szCs w:val="28"/>
        </w:rPr>
      </w:pPr>
      <w:r>
        <w:rPr>
          <w:sz w:val="28"/>
          <w:szCs w:val="28"/>
        </w:rPr>
        <w:t xml:space="preserve">Die auffälligsten Veränderungen in der Verteilung der sonderpädagogischen Förderschwerpunkte in den </w:t>
      </w:r>
      <w:r>
        <w:rPr>
          <w:i/>
          <w:sz w:val="28"/>
          <w:szCs w:val="28"/>
        </w:rPr>
        <w:t>allgemeinen Schulen</w:t>
      </w:r>
      <w:r>
        <w:rPr>
          <w:sz w:val="28"/>
          <w:szCs w:val="28"/>
        </w:rPr>
        <w:t xml:space="preserve"> der BRD sind:</w:t>
      </w:r>
    </w:p>
    <w:p w:rsidR="00DD5F2B" w:rsidRDefault="00DD5F2B" w:rsidP="00DD5F2B">
      <w:pPr>
        <w:rPr>
          <w:sz w:val="28"/>
          <w:szCs w:val="28"/>
        </w:rPr>
      </w:pPr>
    </w:p>
    <w:p w:rsidR="00DD5F2B" w:rsidRDefault="00DD5F2B" w:rsidP="00DD5F2B">
      <w:pPr>
        <w:pStyle w:val="Listenabsatz"/>
        <w:numPr>
          <w:ilvl w:val="0"/>
          <w:numId w:val="4"/>
        </w:numPr>
        <w:rPr>
          <w:sz w:val="28"/>
          <w:szCs w:val="28"/>
        </w:rPr>
      </w:pPr>
      <w:r>
        <w:rPr>
          <w:sz w:val="28"/>
          <w:szCs w:val="28"/>
        </w:rPr>
        <w:t>Innerhalb des gesamten Förderbedarfsspektrums kann sich der Förderschwerpunkt Geistige Entwicklung fast verdoppeln.</w:t>
      </w:r>
    </w:p>
    <w:p w:rsidR="00DD5F2B" w:rsidRDefault="00DD5F2B" w:rsidP="00DD5F2B">
      <w:pPr>
        <w:pStyle w:val="Listenabsatz"/>
        <w:numPr>
          <w:ilvl w:val="0"/>
          <w:numId w:val="4"/>
        </w:numPr>
        <w:rPr>
          <w:sz w:val="28"/>
          <w:szCs w:val="28"/>
        </w:rPr>
      </w:pPr>
      <w:r>
        <w:rPr>
          <w:sz w:val="28"/>
          <w:szCs w:val="28"/>
        </w:rPr>
        <w:t xml:space="preserve">Beim Förderschwerpunkt Sprache geht auch in den allgemeinen Schulen der relative Anteil innerhalb des gesamten Förderbedarfsspektrums leicht um 3,4 Prozent zurück. </w:t>
      </w:r>
    </w:p>
    <w:p w:rsidR="00DD5F2B" w:rsidRDefault="00DD5F2B" w:rsidP="00DD5F2B">
      <w:pPr>
        <w:pStyle w:val="Listenabsatz"/>
        <w:numPr>
          <w:ilvl w:val="0"/>
          <w:numId w:val="4"/>
        </w:numPr>
        <w:rPr>
          <w:sz w:val="28"/>
          <w:szCs w:val="28"/>
        </w:rPr>
      </w:pPr>
      <w:r>
        <w:rPr>
          <w:sz w:val="28"/>
          <w:szCs w:val="28"/>
        </w:rPr>
        <w:t>Entgegen manchen Erwartungen und dramatisierenden Presseberichten nimmt der prozentuale Anteil des Förderschwerpunkt Sozial-emotionale Entwicklung nicht zu, sondern verändert sich kaum.</w:t>
      </w:r>
    </w:p>
    <w:p w:rsidR="00DD5F2B" w:rsidRDefault="00DD5F2B" w:rsidP="00DD5F2B">
      <w:pPr>
        <w:rPr>
          <w:sz w:val="28"/>
          <w:szCs w:val="28"/>
        </w:rPr>
      </w:pPr>
    </w:p>
    <w:p w:rsidR="00DD5F2B" w:rsidRDefault="00DD5F2B" w:rsidP="00DD5F2B">
      <w:pPr>
        <w:rPr>
          <w:sz w:val="28"/>
          <w:szCs w:val="28"/>
        </w:rPr>
      </w:pPr>
      <w:r>
        <w:rPr>
          <w:sz w:val="28"/>
          <w:szCs w:val="28"/>
        </w:rPr>
        <w:t>Zusammenfassend: Innerhalb des Förderschulsystems ist der starke Rückgang des relativen Anteils des Förderschwerpunktes Lernen besonders auffällig. Innerhalb der inklusiven, allgemeinen Schulen bleiben die relativen Anteile der Förderschwerpunkte an der Gesamtheit der inkludierten Schüler*innen mit sonderpädagogischem Förderbedarf in der BRD – im Unterschied zu Bayern –  recht stabil.</w:t>
      </w:r>
    </w:p>
    <w:p w:rsidR="00D3018B" w:rsidRDefault="00D3018B" w:rsidP="00DD5F2B">
      <w:pPr>
        <w:rPr>
          <w:b/>
          <w:sz w:val="28"/>
          <w:szCs w:val="28"/>
        </w:rPr>
      </w:pPr>
    </w:p>
    <w:sectPr w:rsidR="00D3018B" w:rsidSect="007249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14" w:rsidRDefault="00657314" w:rsidP="00BE17A8">
      <w:r>
        <w:separator/>
      </w:r>
    </w:p>
  </w:endnote>
  <w:endnote w:type="continuationSeparator" w:id="0">
    <w:p w:rsidR="00657314" w:rsidRDefault="00657314" w:rsidP="00BE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A" w:rsidRDefault="007249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08510"/>
      <w:docPartObj>
        <w:docPartGallery w:val="Page Numbers (Bottom of Page)"/>
        <w:docPartUnique/>
      </w:docPartObj>
    </w:sdtPr>
    <w:sdtEndPr/>
    <w:sdtContent>
      <w:p w:rsidR="0093070A" w:rsidRDefault="0093070A">
        <w:pPr>
          <w:pStyle w:val="Fuzeile"/>
          <w:jc w:val="center"/>
        </w:pPr>
      </w:p>
      <w:p w:rsidR="0093070A" w:rsidRDefault="0093070A">
        <w:pPr>
          <w:pStyle w:val="Fuzeile"/>
          <w:jc w:val="center"/>
        </w:pPr>
        <w:r>
          <w:fldChar w:fldCharType="begin"/>
        </w:r>
        <w:r>
          <w:instrText>PAGE   \* MERGEFORMAT</w:instrText>
        </w:r>
        <w:r>
          <w:fldChar w:fldCharType="separate"/>
        </w:r>
        <w:r w:rsidR="00D12B8C">
          <w:rPr>
            <w:noProof/>
          </w:rPr>
          <w:t>40</w:t>
        </w:r>
        <w:r>
          <w:fldChar w:fldCharType="end"/>
        </w:r>
      </w:p>
    </w:sdtContent>
  </w:sdt>
  <w:p w:rsidR="0093070A" w:rsidRDefault="009307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A" w:rsidRDefault="007249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14" w:rsidRDefault="00657314" w:rsidP="00BE17A8">
      <w:r>
        <w:separator/>
      </w:r>
    </w:p>
  </w:footnote>
  <w:footnote w:type="continuationSeparator" w:id="0">
    <w:p w:rsidR="00657314" w:rsidRDefault="00657314" w:rsidP="00BE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A" w:rsidRDefault="007249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A" w:rsidRDefault="007249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5A" w:rsidRDefault="007249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B76"/>
    <w:multiLevelType w:val="hybridMultilevel"/>
    <w:tmpl w:val="03B8FEDE"/>
    <w:lvl w:ilvl="0" w:tplc="A50C6C6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57924"/>
    <w:multiLevelType w:val="hybridMultilevel"/>
    <w:tmpl w:val="5A968042"/>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01AC5"/>
    <w:multiLevelType w:val="hybridMultilevel"/>
    <w:tmpl w:val="A7A01BC6"/>
    <w:lvl w:ilvl="0" w:tplc="C010D85E">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0974FB"/>
    <w:multiLevelType w:val="hybridMultilevel"/>
    <w:tmpl w:val="2E1C70D6"/>
    <w:lvl w:ilvl="0" w:tplc="C010D85E">
      <w:start w:val="1"/>
      <w:numFmt w:val="bullet"/>
      <w:lvlText w:val="-"/>
      <w:lvlJc w:val="left"/>
      <w:pPr>
        <w:ind w:left="786" w:hanging="360"/>
      </w:pPr>
      <w:rPr>
        <w:rFonts w:ascii="Arial" w:hAnsi="Arial"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25F42C9B"/>
    <w:multiLevelType w:val="hybridMultilevel"/>
    <w:tmpl w:val="C2E20F6A"/>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A07BF"/>
    <w:multiLevelType w:val="hybridMultilevel"/>
    <w:tmpl w:val="AA1203B6"/>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75A9B"/>
    <w:multiLevelType w:val="hybridMultilevel"/>
    <w:tmpl w:val="5288B018"/>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8D3FFB"/>
    <w:multiLevelType w:val="hybridMultilevel"/>
    <w:tmpl w:val="67A6E98A"/>
    <w:lvl w:ilvl="0" w:tplc="A50C6C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F11B5E"/>
    <w:multiLevelType w:val="hybridMultilevel"/>
    <w:tmpl w:val="2D3821F0"/>
    <w:lvl w:ilvl="0" w:tplc="A50C6C6E">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9" w15:restartNumberingAfterBreak="0">
    <w:nsid w:val="5A0955E1"/>
    <w:multiLevelType w:val="hybridMultilevel"/>
    <w:tmpl w:val="CE3A34E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631431A6"/>
    <w:multiLevelType w:val="hybridMultilevel"/>
    <w:tmpl w:val="ED6AA9E8"/>
    <w:lvl w:ilvl="0" w:tplc="C010D85E">
      <w:start w:val="1"/>
      <w:numFmt w:val="bullet"/>
      <w:lvlText w:val="-"/>
      <w:lvlJc w:val="left"/>
      <w:pPr>
        <w:ind w:left="720" w:hanging="360"/>
      </w:pPr>
      <w:rPr>
        <w:rFonts w:ascii="Arial" w:hAnsi="Aria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F11FA1"/>
    <w:multiLevelType w:val="multilevel"/>
    <w:tmpl w:val="0407001D"/>
    <w:numStyleLink w:val="Doppelt"/>
  </w:abstractNum>
  <w:abstractNum w:abstractNumId="12" w15:restartNumberingAfterBreak="0">
    <w:nsid w:val="6CF65EF4"/>
    <w:multiLevelType w:val="multilevel"/>
    <w:tmpl w:val="0407001D"/>
    <w:numStyleLink w:val="Doppelt"/>
  </w:abstractNum>
  <w:abstractNum w:abstractNumId="13" w15:restartNumberingAfterBreak="0">
    <w:nsid w:val="6F7774DF"/>
    <w:multiLevelType w:val="multilevel"/>
    <w:tmpl w:val="0407001D"/>
    <w:styleLink w:val="Doppel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F61C14"/>
    <w:multiLevelType w:val="multilevel"/>
    <w:tmpl w:val="0407001D"/>
    <w:numStyleLink w:val="Doppelt"/>
  </w:abstractNum>
  <w:abstractNum w:abstractNumId="15" w15:restartNumberingAfterBreak="0">
    <w:nsid w:val="7EC112AA"/>
    <w:multiLevelType w:val="hybridMultilevel"/>
    <w:tmpl w:val="4AAAD7BC"/>
    <w:lvl w:ilvl="0" w:tplc="A50C6C6E">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5"/>
  </w:num>
  <w:num w:numId="2">
    <w:abstractNumId w:val="8"/>
  </w:num>
  <w:num w:numId="3">
    <w:abstractNumId w:val="1"/>
  </w:num>
  <w:num w:numId="4">
    <w:abstractNumId w:val="7"/>
  </w:num>
  <w:num w:numId="5">
    <w:abstractNumId w:val="4"/>
  </w:num>
  <w:num w:numId="6">
    <w:abstractNumId w:val="6"/>
  </w:num>
  <w:num w:numId="7">
    <w:abstractNumId w:val="10"/>
  </w:num>
  <w:num w:numId="8">
    <w:abstractNumId w:val="2"/>
  </w:num>
  <w:num w:numId="9">
    <w:abstractNumId w:val="3"/>
  </w:num>
  <w:num w:numId="10">
    <w:abstractNumId w:val="5"/>
  </w:num>
  <w:num w:numId="11">
    <w:abstractNumId w:val="0"/>
  </w:num>
  <w:num w:numId="12">
    <w:abstractNumId w:val="13"/>
  </w:num>
  <w:num w:numId="13">
    <w:abstractNumId w:val="11"/>
  </w:num>
  <w:num w:numId="14">
    <w:abstractNumId w:val="9"/>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44"/>
    <w:rsid w:val="00012393"/>
    <w:rsid w:val="000243DF"/>
    <w:rsid w:val="000520D4"/>
    <w:rsid w:val="00064DA2"/>
    <w:rsid w:val="000658F1"/>
    <w:rsid w:val="00066C1E"/>
    <w:rsid w:val="00093C22"/>
    <w:rsid w:val="000B0070"/>
    <w:rsid w:val="000D1A0A"/>
    <w:rsid w:val="000D21CB"/>
    <w:rsid w:val="000D756A"/>
    <w:rsid w:val="000E1AD6"/>
    <w:rsid w:val="000E564E"/>
    <w:rsid w:val="000F4D4E"/>
    <w:rsid w:val="001359B7"/>
    <w:rsid w:val="00136302"/>
    <w:rsid w:val="00162C85"/>
    <w:rsid w:val="0017697A"/>
    <w:rsid w:val="00184528"/>
    <w:rsid w:val="00190F15"/>
    <w:rsid w:val="0019167C"/>
    <w:rsid w:val="001C0879"/>
    <w:rsid w:val="0027464B"/>
    <w:rsid w:val="00284219"/>
    <w:rsid w:val="002A1C56"/>
    <w:rsid w:val="002A71A2"/>
    <w:rsid w:val="002C5079"/>
    <w:rsid w:val="002E40E4"/>
    <w:rsid w:val="002E50C0"/>
    <w:rsid w:val="002E5666"/>
    <w:rsid w:val="002E7174"/>
    <w:rsid w:val="00310A8A"/>
    <w:rsid w:val="00337C05"/>
    <w:rsid w:val="00340FCC"/>
    <w:rsid w:val="00344386"/>
    <w:rsid w:val="0036457D"/>
    <w:rsid w:val="00371A44"/>
    <w:rsid w:val="00374513"/>
    <w:rsid w:val="00383A62"/>
    <w:rsid w:val="0039064E"/>
    <w:rsid w:val="00390744"/>
    <w:rsid w:val="003959A9"/>
    <w:rsid w:val="003E78E0"/>
    <w:rsid w:val="004247D3"/>
    <w:rsid w:val="00433437"/>
    <w:rsid w:val="00434461"/>
    <w:rsid w:val="004503AA"/>
    <w:rsid w:val="004517B7"/>
    <w:rsid w:val="004736EE"/>
    <w:rsid w:val="00481D94"/>
    <w:rsid w:val="004B27D8"/>
    <w:rsid w:val="004C770F"/>
    <w:rsid w:val="004D6157"/>
    <w:rsid w:val="004F3EC2"/>
    <w:rsid w:val="00547C64"/>
    <w:rsid w:val="00553A7C"/>
    <w:rsid w:val="0055483E"/>
    <w:rsid w:val="0055765F"/>
    <w:rsid w:val="00562A2A"/>
    <w:rsid w:val="0059139A"/>
    <w:rsid w:val="005A3658"/>
    <w:rsid w:val="005A3DAA"/>
    <w:rsid w:val="005C3AB5"/>
    <w:rsid w:val="005D39B9"/>
    <w:rsid w:val="005D59D9"/>
    <w:rsid w:val="006050D0"/>
    <w:rsid w:val="00613FF3"/>
    <w:rsid w:val="00657314"/>
    <w:rsid w:val="00661EF8"/>
    <w:rsid w:val="006878A4"/>
    <w:rsid w:val="006A468B"/>
    <w:rsid w:val="006A695C"/>
    <w:rsid w:val="006B095E"/>
    <w:rsid w:val="006B3421"/>
    <w:rsid w:val="006C1F24"/>
    <w:rsid w:val="006D59F4"/>
    <w:rsid w:val="006D6D5A"/>
    <w:rsid w:val="006E223D"/>
    <w:rsid w:val="006E51C1"/>
    <w:rsid w:val="006F3209"/>
    <w:rsid w:val="0072495A"/>
    <w:rsid w:val="007442CB"/>
    <w:rsid w:val="007468FF"/>
    <w:rsid w:val="00750688"/>
    <w:rsid w:val="00784310"/>
    <w:rsid w:val="007C4D35"/>
    <w:rsid w:val="007D6664"/>
    <w:rsid w:val="007E7F6F"/>
    <w:rsid w:val="00800F4F"/>
    <w:rsid w:val="00841C8F"/>
    <w:rsid w:val="00854EA4"/>
    <w:rsid w:val="00861B06"/>
    <w:rsid w:val="00884EB1"/>
    <w:rsid w:val="008B1B05"/>
    <w:rsid w:val="008B2DFB"/>
    <w:rsid w:val="008B7630"/>
    <w:rsid w:val="008E2323"/>
    <w:rsid w:val="00904896"/>
    <w:rsid w:val="00930171"/>
    <w:rsid w:val="0093070A"/>
    <w:rsid w:val="009900EC"/>
    <w:rsid w:val="0099275A"/>
    <w:rsid w:val="009B77EC"/>
    <w:rsid w:val="009B7FC5"/>
    <w:rsid w:val="009C73AF"/>
    <w:rsid w:val="009D1D68"/>
    <w:rsid w:val="009D6F77"/>
    <w:rsid w:val="00A24A53"/>
    <w:rsid w:val="00A3365D"/>
    <w:rsid w:val="00A34010"/>
    <w:rsid w:val="00A57D92"/>
    <w:rsid w:val="00AC6333"/>
    <w:rsid w:val="00AE06D8"/>
    <w:rsid w:val="00AE073B"/>
    <w:rsid w:val="00AE5385"/>
    <w:rsid w:val="00AE5A37"/>
    <w:rsid w:val="00B06CDB"/>
    <w:rsid w:val="00B458FD"/>
    <w:rsid w:val="00B52A68"/>
    <w:rsid w:val="00B57770"/>
    <w:rsid w:val="00B62854"/>
    <w:rsid w:val="00B75E6E"/>
    <w:rsid w:val="00B9142D"/>
    <w:rsid w:val="00BA580E"/>
    <w:rsid w:val="00BA73C7"/>
    <w:rsid w:val="00BE17A8"/>
    <w:rsid w:val="00C265F6"/>
    <w:rsid w:val="00C31E83"/>
    <w:rsid w:val="00C3329A"/>
    <w:rsid w:val="00C372CF"/>
    <w:rsid w:val="00C4594F"/>
    <w:rsid w:val="00C51065"/>
    <w:rsid w:val="00C523A1"/>
    <w:rsid w:val="00C611B4"/>
    <w:rsid w:val="00C80A8D"/>
    <w:rsid w:val="00C93E99"/>
    <w:rsid w:val="00CB7B31"/>
    <w:rsid w:val="00CC400D"/>
    <w:rsid w:val="00CE1A23"/>
    <w:rsid w:val="00CF1C09"/>
    <w:rsid w:val="00CF647B"/>
    <w:rsid w:val="00CF7EDA"/>
    <w:rsid w:val="00D01CF6"/>
    <w:rsid w:val="00D12B8C"/>
    <w:rsid w:val="00D23E2C"/>
    <w:rsid w:val="00D3018B"/>
    <w:rsid w:val="00D34F06"/>
    <w:rsid w:val="00D41049"/>
    <w:rsid w:val="00D42D11"/>
    <w:rsid w:val="00D5608D"/>
    <w:rsid w:val="00D8284E"/>
    <w:rsid w:val="00D93F9C"/>
    <w:rsid w:val="00DB13B9"/>
    <w:rsid w:val="00DB7334"/>
    <w:rsid w:val="00DC4E31"/>
    <w:rsid w:val="00DC785C"/>
    <w:rsid w:val="00DD5F2B"/>
    <w:rsid w:val="00DE4996"/>
    <w:rsid w:val="00E10704"/>
    <w:rsid w:val="00E217E3"/>
    <w:rsid w:val="00E30288"/>
    <w:rsid w:val="00E33986"/>
    <w:rsid w:val="00E37330"/>
    <w:rsid w:val="00E61B63"/>
    <w:rsid w:val="00E75B14"/>
    <w:rsid w:val="00E97691"/>
    <w:rsid w:val="00EB3C91"/>
    <w:rsid w:val="00EB4048"/>
    <w:rsid w:val="00EB75B2"/>
    <w:rsid w:val="00EC515F"/>
    <w:rsid w:val="00F0001C"/>
    <w:rsid w:val="00F453DE"/>
    <w:rsid w:val="00F47B50"/>
    <w:rsid w:val="00F578BA"/>
    <w:rsid w:val="00F6711B"/>
    <w:rsid w:val="00F9204C"/>
    <w:rsid w:val="00FC14E2"/>
    <w:rsid w:val="00FD7B3D"/>
    <w:rsid w:val="00FE3965"/>
    <w:rsid w:val="00FE6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72F5B-F442-4363-B494-72EF7E40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07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00EC"/>
    <w:pPr>
      <w:ind w:left="720"/>
      <w:contextualSpacing/>
    </w:pPr>
  </w:style>
  <w:style w:type="paragraph" w:styleId="Sprechblasentext">
    <w:name w:val="Balloon Text"/>
    <w:basedOn w:val="Standard"/>
    <w:link w:val="SprechblasentextZchn"/>
    <w:uiPriority w:val="99"/>
    <w:semiHidden/>
    <w:unhideWhenUsed/>
    <w:rsid w:val="002E40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0E4"/>
    <w:rPr>
      <w:rFonts w:ascii="Segoe UI" w:hAnsi="Segoe UI" w:cs="Segoe UI"/>
      <w:sz w:val="18"/>
      <w:szCs w:val="18"/>
    </w:rPr>
  </w:style>
  <w:style w:type="paragraph" w:styleId="Kopfzeile">
    <w:name w:val="header"/>
    <w:basedOn w:val="Standard"/>
    <w:link w:val="KopfzeileZchn"/>
    <w:uiPriority w:val="99"/>
    <w:unhideWhenUsed/>
    <w:rsid w:val="00BE17A8"/>
    <w:pPr>
      <w:tabs>
        <w:tab w:val="center" w:pos="4536"/>
        <w:tab w:val="right" w:pos="9072"/>
      </w:tabs>
    </w:pPr>
  </w:style>
  <w:style w:type="character" w:customStyle="1" w:styleId="KopfzeileZchn">
    <w:name w:val="Kopfzeile Zchn"/>
    <w:basedOn w:val="Absatz-Standardschriftart"/>
    <w:link w:val="Kopfzeile"/>
    <w:uiPriority w:val="99"/>
    <w:rsid w:val="00BE17A8"/>
  </w:style>
  <w:style w:type="paragraph" w:styleId="Fuzeile">
    <w:name w:val="footer"/>
    <w:basedOn w:val="Standard"/>
    <w:link w:val="FuzeileZchn"/>
    <w:uiPriority w:val="99"/>
    <w:unhideWhenUsed/>
    <w:rsid w:val="00BE17A8"/>
    <w:pPr>
      <w:tabs>
        <w:tab w:val="center" w:pos="4536"/>
        <w:tab w:val="right" w:pos="9072"/>
      </w:tabs>
    </w:pPr>
  </w:style>
  <w:style w:type="character" w:customStyle="1" w:styleId="FuzeileZchn">
    <w:name w:val="Fußzeile Zchn"/>
    <w:basedOn w:val="Absatz-Standardschriftart"/>
    <w:link w:val="Fuzeile"/>
    <w:uiPriority w:val="99"/>
    <w:rsid w:val="00BE17A8"/>
  </w:style>
  <w:style w:type="numbering" w:customStyle="1" w:styleId="Doppelt">
    <w:name w:val="Doppelt"/>
    <w:uiPriority w:val="99"/>
    <w:rsid w:val="00D8284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9951">
      <w:bodyDiv w:val="1"/>
      <w:marLeft w:val="0"/>
      <w:marRight w:val="0"/>
      <w:marTop w:val="0"/>
      <w:marBottom w:val="0"/>
      <w:divBdr>
        <w:top w:val="none" w:sz="0" w:space="0" w:color="auto"/>
        <w:left w:val="none" w:sz="0" w:space="0" w:color="auto"/>
        <w:bottom w:val="none" w:sz="0" w:space="0" w:color="auto"/>
        <w:right w:val="none" w:sz="0" w:space="0" w:color="auto"/>
      </w:divBdr>
    </w:div>
    <w:div w:id="1108113308">
      <w:bodyDiv w:val="1"/>
      <w:marLeft w:val="0"/>
      <w:marRight w:val="0"/>
      <w:marTop w:val="0"/>
      <w:marBottom w:val="0"/>
      <w:divBdr>
        <w:top w:val="none" w:sz="0" w:space="0" w:color="auto"/>
        <w:left w:val="none" w:sz="0" w:space="0" w:color="auto"/>
        <w:bottom w:val="none" w:sz="0" w:space="0" w:color="auto"/>
        <w:right w:val="none" w:sz="0" w:space="0" w:color="auto"/>
      </w:divBdr>
    </w:div>
    <w:div w:id="1814446164">
      <w:bodyDiv w:val="1"/>
      <w:marLeft w:val="0"/>
      <w:marRight w:val="0"/>
      <w:marTop w:val="0"/>
      <w:marBottom w:val="0"/>
      <w:divBdr>
        <w:top w:val="none" w:sz="0" w:space="0" w:color="auto"/>
        <w:left w:val="none" w:sz="0" w:space="0" w:color="auto"/>
        <w:bottom w:val="none" w:sz="0" w:space="0" w:color="auto"/>
        <w:right w:val="none" w:sz="0" w:space="0" w:color="auto"/>
      </w:divBdr>
    </w:div>
    <w:div w:id="20151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62FF-D7A4-4A6D-BFD3-CDD61D2D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2922</Words>
  <Characters>18412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Wocken</dc:creator>
  <cp:keywords/>
  <dc:description/>
  <cp:lastModifiedBy>Hans Wocken</cp:lastModifiedBy>
  <cp:revision>29</cp:revision>
  <cp:lastPrinted>2020-09-15T10:42:00Z</cp:lastPrinted>
  <dcterms:created xsi:type="dcterms:W3CDTF">2020-08-30T17:22:00Z</dcterms:created>
  <dcterms:modified xsi:type="dcterms:W3CDTF">2020-09-21T07:55:00Z</dcterms:modified>
</cp:coreProperties>
</file>